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02093" w14:textId="084F81E0" w:rsidR="00E22E39" w:rsidRPr="002B1794" w:rsidRDefault="00D7440A" w:rsidP="009267A8">
      <w:pPr>
        <w:pStyle w:val="3GPPHeader"/>
      </w:pPr>
      <w:r>
        <w:t>3GPP</w:t>
      </w:r>
      <w:r w:rsidR="00136C0E">
        <w:t xml:space="preserve"> TSG RAN WG1 Meeting RAN1#9</w:t>
      </w:r>
      <w:r w:rsidR="00527E24">
        <w:t>9</w:t>
      </w:r>
      <w:r w:rsidR="00E22E39" w:rsidRPr="002B1794">
        <w:tab/>
      </w:r>
      <w:r w:rsidR="00136C0E" w:rsidRPr="004B61B3">
        <w:t>R1-</w:t>
      </w:r>
      <w:r w:rsidR="009267A8" w:rsidRPr="004B61B3">
        <w:t>191</w:t>
      </w:r>
      <w:r w:rsidR="009267A8">
        <w:t>2855</w:t>
      </w:r>
    </w:p>
    <w:p w14:paraId="378E7328" w14:textId="4B88CF3F" w:rsidR="00E22E39" w:rsidRPr="002B1794" w:rsidRDefault="00527E24" w:rsidP="00527E24">
      <w:pPr>
        <w:pStyle w:val="3GPPHeader"/>
        <w:rPr>
          <w:rFonts w:eastAsiaTheme="minorHAnsi" w:cstheme="minorBidi"/>
          <w:sz w:val="22"/>
          <w:szCs w:val="22"/>
        </w:rPr>
      </w:pPr>
      <w:r>
        <w:t>Reno</w:t>
      </w:r>
      <w:r w:rsidR="00E22E39" w:rsidRPr="0051599E">
        <w:t>,</w:t>
      </w:r>
      <w:r>
        <w:t xml:space="preserve"> USA</w:t>
      </w:r>
      <w:r w:rsidR="00136C0E">
        <w:t xml:space="preserve">, </w:t>
      </w:r>
      <w:r>
        <w:t>Novem</w:t>
      </w:r>
      <w:r w:rsidR="00136C0E">
        <w:t>ber</w:t>
      </w:r>
      <w:r w:rsidR="00E22E39" w:rsidRPr="0051599E">
        <w:t xml:space="preserve"> </w:t>
      </w:r>
      <w:r>
        <w:t>18</w:t>
      </w:r>
      <w:r w:rsidR="00E22E39" w:rsidRPr="0051599E">
        <w:rPr>
          <w:vertAlign w:val="superscript"/>
        </w:rPr>
        <w:t>th</w:t>
      </w:r>
      <w:r w:rsidR="00E22E39" w:rsidRPr="0051599E">
        <w:t xml:space="preserve"> – </w:t>
      </w:r>
      <w:r w:rsidR="00136C0E">
        <w:t>2</w:t>
      </w:r>
      <w:r>
        <w:t>2</w:t>
      </w:r>
      <w:r>
        <w:rPr>
          <w:vertAlign w:val="superscript"/>
        </w:rPr>
        <w:t>nd</w:t>
      </w:r>
      <w:r w:rsidR="00136C0E">
        <w:t>, 2019</w:t>
      </w:r>
    </w:p>
    <w:p w14:paraId="6EE49182" w14:textId="77777777" w:rsidR="00E22E39" w:rsidRPr="00045AA3" w:rsidRDefault="00E22E39" w:rsidP="00E22E39">
      <w:pPr>
        <w:pStyle w:val="3GPPHeader"/>
      </w:pPr>
    </w:p>
    <w:p w14:paraId="51AF091C" w14:textId="77777777" w:rsidR="00E22E39" w:rsidRPr="00327997" w:rsidRDefault="00E22E39" w:rsidP="00E22E39">
      <w:pPr>
        <w:pStyle w:val="3GPPHeader"/>
      </w:pPr>
      <w:r w:rsidRPr="00327997">
        <w:t>Source:</w:t>
      </w:r>
      <w:r w:rsidRPr="00327997">
        <w:tab/>
      </w:r>
      <w:r w:rsidR="005D1432">
        <w:t>Motorola Mobility, Lenovo</w:t>
      </w:r>
    </w:p>
    <w:p w14:paraId="42FD4BC4" w14:textId="0D4C9DB4" w:rsidR="00E22E39" w:rsidRDefault="00E22E39" w:rsidP="007D244B">
      <w:pPr>
        <w:pStyle w:val="3GPPHeader"/>
      </w:pPr>
      <w:r w:rsidRPr="00327997">
        <w:t>Title:</w:t>
      </w:r>
      <w:r w:rsidRPr="00327997">
        <w:tab/>
      </w:r>
      <w:r w:rsidR="007D244B">
        <w:t xml:space="preserve">MU-CSI Type II </w:t>
      </w:r>
      <w:r w:rsidR="00527E24">
        <w:t>Enhancements</w:t>
      </w:r>
    </w:p>
    <w:p w14:paraId="0A507AD1" w14:textId="77777777" w:rsidR="00E22E39" w:rsidRPr="00B91755" w:rsidRDefault="00E22E39" w:rsidP="00E22E39">
      <w:pPr>
        <w:pStyle w:val="3GPPHeader"/>
      </w:pPr>
      <w:r w:rsidRPr="00561DAC">
        <w:t>Agenda Item:</w:t>
      </w:r>
      <w:r w:rsidRPr="00561DAC">
        <w:tab/>
      </w:r>
      <w:r w:rsidR="00136C0E">
        <w:t>7.2.8.1</w:t>
      </w:r>
    </w:p>
    <w:p w14:paraId="4C846AE2" w14:textId="77777777" w:rsidR="00E22E39" w:rsidRPr="00CE0424" w:rsidRDefault="00E22E39" w:rsidP="00E22E39">
      <w:pPr>
        <w:pStyle w:val="3GPPHeader"/>
      </w:pPr>
      <w:r w:rsidRPr="00327997">
        <w:t>Document for:</w:t>
      </w:r>
      <w:r w:rsidRPr="00327997">
        <w:tab/>
      </w:r>
      <w:r>
        <w:t>Discussion and</w:t>
      </w:r>
      <w:r w:rsidRPr="009C6832">
        <w:t xml:space="preserve"> Decision</w:t>
      </w:r>
    </w:p>
    <w:p w14:paraId="0F053A78" w14:textId="77777777" w:rsidR="00097A86" w:rsidRDefault="00E22E39" w:rsidP="00FD05BA">
      <w:pPr>
        <w:pStyle w:val="Heading1"/>
      </w:pPr>
      <w:r w:rsidRPr="00D7440A">
        <w:t>Introduction</w:t>
      </w:r>
    </w:p>
    <w:p w14:paraId="1C234E6F" w14:textId="26AB722E" w:rsidR="00A41A8D" w:rsidRPr="0000320B" w:rsidRDefault="0000320B" w:rsidP="00A41A8D">
      <w:r w:rsidRPr="0000320B">
        <w:t>At RAN1#98</w:t>
      </w:r>
      <w:r w:rsidR="00527E24">
        <w:t>bis</w:t>
      </w:r>
      <w:r w:rsidRPr="0000320B">
        <w:t xml:space="preserve"> agreements were reached </w:t>
      </w:r>
      <w:r w:rsidR="006A514B">
        <w:t>for Rel-16 Type II codebook</w:t>
      </w:r>
      <w:r w:rsidR="006A514B" w:rsidRPr="0000320B">
        <w:t xml:space="preserve"> </w:t>
      </w:r>
      <w:r w:rsidRPr="0000320B">
        <w:t xml:space="preserve">on </w:t>
      </w:r>
      <w:r w:rsidR="00527E24">
        <w:t>UCI omission</w:t>
      </w:r>
      <w:r w:rsidRPr="0000320B">
        <w:t xml:space="preserve"> and CBSR procedures</w:t>
      </w:r>
      <w:r w:rsidR="00527E24">
        <w:t xml:space="preserve">, </w:t>
      </w:r>
      <w:r w:rsidR="006A514B">
        <w:t xml:space="preserve">handling the </w:t>
      </w:r>
      <w:r w:rsidR="00527E24">
        <w:t>mapping</w:t>
      </w:r>
      <w:r w:rsidR="006A514B">
        <w:t xml:space="preserve"> </w:t>
      </w:r>
      <w:r w:rsidR="009267A8">
        <w:t>between</w:t>
      </w:r>
      <w:r w:rsidR="00527E24">
        <w:t xml:space="preserve"> PMI subbands </w:t>
      </w:r>
      <w:r w:rsidR="009267A8">
        <w:t>and</w:t>
      </w:r>
      <w:r w:rsidR="00527E24">
        <w:t xml:space="preserve"> edge CQI subbands</w:t>
      </w:r>
      <w:r w:rsidR="006A514B">
        <w:t>, as well as some UE capability issues</w:t>
      </w:r>
      <w:r w:rsidRPr="0000320B">
        <w:t>.</w:t>
      </w:r>
      <w:r w:rsidR="00527E24">
        <w:t xml:space="preserve"> In this </w:t>
      </w:r>
      <w:r w:rsidR="006A514B">
        <w:t>contribution,</w:t>
      </w:r>
      <w:r w:rsidR="00527E24">
        <w:t xml:space="preserve"> we address the </w:t>
      </w:r>
      <w:r w:rsidR="006A514B">
        <w:t xml:space="preserve">remainder of the </w:t>
      </w:r>
      <w:r w:rsidR="00527E24">
        <w:t>UE capability issues for Rel-16 Type II codebook</w:t>
      </w:r>
      <w:r w:rsidR="006A514B">
        <w:t>.</w:t>
      </w:r>
    </w:p>
    <w:p w14:paraId="547F1795" w14:textId="78215373" w:rsidR="00B376BF" w:rsidRDefault="007145D6" w:rsidP="00B376BF">
      <w:pPr>
        <w:pStyle w:val="Heading1"/>
      </w:pPr>
      <w:r>
        <w:t>UE Capability Issues</w:t>
      </w:r>
    </w:p>
    <w:p w14:paraId="0F8C4C48" w14:textId="0F20BB36" w:rsidR="0000320B" w:rsidRPr="0000320B" w:rsidRDefault="000165CF" w:rsidP="000165CF">
      <w:pPr>
        <w:pStyle w:val="Heading2"/>
      </w:pPr>
      <w:r>
        <w:t>Prior Agreements</w:t>
      </w:r>
    </w:p>
    <w:p w14:paraId="2BA56AB2" w14:textId="77777777" w:rsidR="00D70C97" w:rsidRPr="001438A5" w:rsidRDefault="00D70C97" w:rsidP="00D70C97">
      <w:pPr>
        <w:pStyle w:val="Style1"/>
        <w:spacing w:after="0" w:line="240" w:lineRule="auto"/>
        <w:ind w:firstLine="0"/>
        <w:rPr>
          <w:rFonts w:ascii="Times" w:hAnsi="Times" w:cs="Times"/>
          <w:sz w:val="20"/>
          <w:szCs w:val="20"/>
          <w:lang w:eastAsia="ko-KR"/>
        </w:rPr>
      </w:pPr>
      <w:r w:rsidRPr="001438A5">
        <w:rPr>
          <w:rFonts w:ascii="Times" w:hAnsi="Times" w:cs="Times"/>
          <w:b/>
          <w:sz w:val="20"/>
          <w:szCs w:val="20"/>
          <w:highlight w:val="green"/>
          <w:lang w:eastAsia="ko-KR"/>
        </w:rPr>
        <w:t>Agreement</w:t>
      </w:r>
    </w:p>
    <w:p w14:paraId="03FAF613" w14:textId="77777777" w:rsidR="00D70C97" w:rsidRPr="001438A5" w:rsidRDefault="00D70C97" w:rsidP="00D70C97">
      <w:pPr>
        <w:pStyle w:val="Style1"/>
        <w:spacing w:after="0" w:line="240" w:lineRule="auto"/>
        <w:ind w:firstLine="0"/>
        <w:rPr>
          <w:rFonts w:ascii="Times" w:hAnsi="Times" w:cs="Times"/>
          <w:sz w:val="20"/>
          <w:szCs w:val="20"/>
          <w:lang w:eastAsia="ko-KR"/>
        </w:rPr>
      </w:pPr>
      <w:r w:rsidRPr="001438A5">
        <w:rPr>
          <w:rFonts w:ascii="Times" w:hAnsi="Times" w:cs="Times"/>
          <w:sz w:val="20"/>
          <w:szCs w:val="20"/>
          <w:lang w:eastAsia="ko-KR"/>
        </w:rPr>
        <w:t xml:space="preserve">On UE capability issues: </w:t>
      </w:r>
    </w:p>
    <w:p w14:paraId="423DE53F" w14:textId="77777777" w:rsidR="00D70C97" w:rsidRPr="001438A5" w:rsidRDefault="00D70C97" w:rsidP="00D70C97">
      <w:pPr>
        <w:pStyle w:val="Style1"/>
        <w:numPr>
          <w:ilvl w:val="0"/>
          <w:numId w:val="33"/>
        </w:numPr>
        <w:spacing w:after="0" w:line="240" w:lineRule="auto"/>
        <w:rPr>
          <w:rFonts w:ascii="Times" w:hAnsi="Times" w:cs="Times"/>
          <w:sz w:val="20"/>
          <w:szCs w:val="20"/>
        </w:rPr>
      </w:pPr>
      <w:r w:rsidRPr="001438A5">
        <w:rPr>
          <w:rFonts w:ascii="Times" w:hAnsi="Times" w:cs="Times"/>
          <w:sz w:val="20"/>
          <w:szCs w:val="20"/>
        </w:rPr>
        <w:t>For a UE capable of Rel.16 Type II codebook, agree on the following:</w:t>
      </w:r>
    </w:p>
    <w:p w14:paraId="5B906698" w14:textId="77777777" w:rsidR="00D70C97" w:rsidRPr="001438A5" w:rsidRDefault="00D70C97" w:rsidP="00D70C97">
      <w:pPr>
        <w:pStyle w:val="Style1"/>
        <w:numPr>
          <w:ilvl w:val="1"/>
          <w:numId w:val="33"/>
        </w:numPr>
        <w:spacing w:after="0" w:line="240" w:lineRule="auto"/>
        <w:rPr>
          <w:rFonts w:ascii="Times" w:hAnsi="Times" w:cs="Times"/>
          <w:sz w:val="20"/>
          <w:szCs w:val="20"/>
        </w:rPr>
      </w:pPr>
      <w:r w:rsidRPr="001438A5">
        <w:rPr>
          <w:rFonts w:ascii="Times" w:hAnsi="Times" w:cs="Times"/>
          <w:sz w:val="20"/>
          <w:szCs w:val="20"/>
        </w:rPr>
        <w:t xml:space="preserve">Mandatory support for L=2, 4 </w:t>
      </w:r>
    </w:p>
    <w:p w14:paraId="4DBCC4B6" w14:textId="77777777" w:rsidR="00D70C97" w:rsidRPr="001438A5" w:rsidRDefault="00D70C97" w:rsidP="00D70C97">
      <w:pPr>
        <w:pStyle w:val="Style1"/>
        <w:numPr>
          <w:ilvl w:val="2"/>
          <w:numId w:val="33"/>
        </w:numPr>
        <w:spacing w:after="0" w:line="240" w:lineRule="auto"/>
        <w:rPr>
          <w:rFonts w:ascii="Times" w:hAnsi="Times" w:cs="Times"/>
          <w:sz w:val="20"/>
          <w:szCs w:val="20"/>
        </w:rPr>
      </w:pPr>
      <w:r w:rsidRPr="001438A5">
        <w:rPr>
          <w:rFonts w:ascii="Times" w:hAnsi="Times" w:cs="Times"/>
          <w:sz w:val="20"/>
          <w:szCs w:val="20"/>
        </w:rPr>
        <w:t>Supported without additional UE capability signaling</w:t>
      </w:r>
    </w:p>
    <w:p w14:paraId="5DD35EBF" w14:textId="77777777" w:rsidR="00D70C97" w:rsidRPr="001438A5" w:rsidRDefault="00D70C97" w:rsidP="00D70C97">
      <w:pPr>
        <w:pStyle w:val="Style1"/>
        <w:numPr>
          <w:ilvl w:val="1"/>
          <w:numId w:val="33"/>
        </w:numPr>
        <w:spacing w:after="0" w:line="240" w:lineRule="auto"/>
        <w:rPr>
          <w:rFonts w:ascii="Times" w:hAnsi="Times" w:cs="Times"/>
          <w:sz w:val="20"/>
          <w:szCs w:val="20"/>
        </w:rPr>
      </w:pPr>
      <w:r w:rsidRPr="001438A5">
        <w:rPr>
          <w:rFonts w:ascii="Times" w:hAnsi="Times" w:cs="Times"/>
          <w:sz w:val="20"/>
          <w:szCs w:val="20"/>
        </w:rPr>
        <w:t>Mandatory support for maximum rank of 1 and 2</w:t>
      </w:r>
    </w:p>
    <w:p w14:paraId="10E69D0E" w14:textId="77777777" w:rsidR="00D70C97" w:rsidRPr="001438A5" w:rsidRDefault="00D70C97" w:rsidP="00D70C97">
      <w:pPr>
        <w:pStyle w:val="Style1"/>
        <w:numPr>
          <w:ilvl w:val="2"/>
          <w:numId w:val="33"/>
        </w:numPr>
        <w:spacing w:after="0" w:line="240" w:lineRule="auto"/>
        <w:rPr>
          <w:rFonts w:ascii="Times" w:hAnsi="Times" w:cs="Times"/>
          <w:sz w:val="20"/>
          <w:szCs w:val="20"/>
        </w:rPr>
      </w:pPr>
      <w:r w:rsidRPr="001438A5">
        <w:rPr>
          <w:rFonts w:ascii="Times" w:hAnsi="Times" w:cs="Times"/>
          <w:sz w:val="20"/>
          <w:szCs w:val="20"/>
        </w:rPr>
        <w:t xml:space="preserve">FFS whether the support for maximum rank 3 and 4 is mandatory or not </w:t>
      </w:r>
    </w:p>
    <w:p w14:paraId="7A23E97D" w14:textId="77777777" w:rsidR="00D70C97" w:rsidRPr="001438A5" w:rsidRDefault="00D70C97" w:rsidP="00D70C97">
      <w:pPr>
        <w:pStyle w:val="Style1"/>
        <w:numPr>
          <w:ilvl w:val="2"/>
          <w:numId w:val="33"/>
        </w:numPr>
        <w:spacing w:after="0" w:line="240" w:lineRule="auto"/>
        <w:rPr>
          <w:rFonts w:ascii="Times" w:hAnsi="Times" w:cs="Times"/>
          <w:sz w:val="20"/>
          <w:szCs w:val="20"/>
        </w:rPr>
      </w:pPr>
      <w:r w:rsidRPr="001438A5">
        <w:rPr>
          <w:rFonts w:ascii="Times" w:hAnsi="Times" w:cs="Times"/>
          <w:sz w:val="20"/>
          <w:szCs w:val="20"/>
        </w:rPr>
        <w:t>Supported without additional UE capability signaling</w:t>
      </w:r>
    </w:p>
    <w:p w14:paraId="4EC16495" w14:textId="77777777" w:rsidR="00D70C97" w:rsidRPr="001438A5" w:rsidRDefault="00D70C97" w:rsidP="00D70C97">
      <w:pPr>
        <w:pStyle w:val="Style1"/>
        <w:numPr>
          <w:ilvl w:val="1"/>
          <w:numId w:val="33"/>
        </w:numPr>
        <w:spacing w:after="0" w:line="240" w:lineRule="auto"/>
        <w:rPr>
          <w:rFonts w:ascii="Times" w:hAnsi="Times" w:cs="Times"/>
          <w:sz w:val="20"/>
          <w:szCs w:val="20"/>
        </w:rPr>
      </w:pPr>
      <w:r w:rsidRPr="001438A5">
        <w:rPr>
          <w:rFonts w:ascii="Times" w:hAnsi="Times" w:cs="Times"/>
          <w:sz w:val="20"/>
          <w:szCs w:val="20"/>
        </w:rPr>
        <w:t>Separate UE capabilities for the “regular” Rel.16 Type II and Rel.16 Type II port selection codebooks</w:t>
      </w:r>
    </w:p>
    <w:p w14:paraId="6C3C91DA" w14:textId="77777777" w:rsidR="00D70C97" w:rsidRPr="001438A5" w:rsidRDefault="00D70C97" w:rsidP="00D70C97">
      <w:pPr>
        <w:pStyle w:val="Style1"/>
        <w:numPr>
          <w:ilvl w:val="0"/>
          <w:numId w:val="33"/>
        </w:numPr>
        <w:spacing w:after="0" w:line="240" w:lineRule="auto"/>
        <w:rPr>
          <w:rFonts w:ascii="Times" w:hAnsi="Times" w:cs="Times"/>
          <w:sz w:val="20"/>
          <w:szCs w:val="20"/>
        </w:rPr>
      </w:pPr>
      <w:r w:rsidRPr="001438A5">
        <w:rPr>
          <w:rFonts w:ascii="Times" w:hAnsi="Times" w:cs="Times"/>
          <w:sz w:val="20"/>
          <w:szCs w:val="20"/>
        </w:rPr>
        <w:t>Note: for discussion purposes:</w:t>
      </w:r>
    </w:p>
    <w:p w14:paraId="6AB43D59" w14:textId="77777777" w:rsidR="00D70C97" w:rsidRPr="001438A5" w:rsidRDefault="00D70C97" w:rsidP="00D70C97">
      <w:pPr>
        <w:pStyle w:val="Style1"/>
        <w:numPr>
          <w:ilvl w:val="1"/>
          <w:numId w:val="33"/>
        </w:numPr>
        <w:spacing w:after="0" w:line="240" w:lineRule="auto"/>
        <w:rPr>
          <w:rFonts w:ascii="Times" w:hAnsi="Times" w:cs="Times"/>
          <w:sz w:val="20"/>
          <w:szCs w:val="20"/>
        </w:rPr>
      </w:pPr>
      <w:r w:rsidRPr="001438A5">
        <w:rPr>
          <w:rFonts w:ascii="Times" w:hAnsi="Times" w:cs="Times"/>
          <w:sz w:val="20"/>
          <w:szCs w:val="20"/>
        </w:rPr>
        <w:t>“Mandatory” implies that the (sub-)feature is always supported when the UE is capable of Rel.16 Type II codebook. In other words, this feature is considered basic. Rel.16 Type II codebook is a UE optional feature.</w:t>
      </w:r>
    </w:p>
    <w:p w14:paraId="121E4F00" w14:textId="1FA26191" w:rsidR="001217A0" w:rsidRPr="001438A5" w:rsidRDefault="00D70C97" w:rsidP="00D70C97">
      <w:pPr>
        <w:rPr>
          <w:rFonts w:ascii="Times" w:eastAsia="SimSun" w:hAnsi="Times" w:cs="Times"/>
        </w:rPr>
      </w:pPr>
      <w:r w:rsidRPr="001438A5">
        <w:rPr>
          <w:rFonts w:ascii="Times" w:hAnsi="Times" w:cs="Times"/>
        </w:rPr>
        <w:t>“Optional” implies that a separate UE (sub-)capability is needed (hence not necessarily supported) even when the UE is capable of Rel.16 Type II codebook. In other words, this feature is considered advanced.</w:t>
      </w:r>
    </w:p>
    <w:p w14:paraId="5AA8FE1C" w14:textId="77777777" w:rsidR="007145D6" w:rsidRPr="001438A5" w:rsidRDefault="007145D6" w:rsidP="00B376BF">
      <w:pPr>
        <w:rPr>
          <w:rFonts w:ascii="Times" w:hAnsi="Times" w:cs="Times"/>
          <w:b/>
          <w:bCs/>
          <w:u w:val="single"/>
        </w:rPr>
      </w:pPr>
    </w:p>
    <w:p w14:paraId="2FC97576" w14:textId="2324D7DF" w:rsidR="00F4342C" w:rsidRPr="001438A5" w:rsidRDefault="00F4342C" w:rsidP="00CB6927">
      <w:pPr>
        <w:rPr>
          <w:rFonts w:ascii="Times" w:hAnsi="Times" w:cs="Times"/>
        </w:rPr>
      </w:pPr>
      <w:r w:rsidRPr="001438A5">
        <w:rPr>
          <w:rFonts w:ascii="Times" w:hAnsi="Times" w:cs="Times"/>
          <w:b/>
          <w:u w:val="single"/>
        </w:rPr>
        <w:t xml:space="preserve">Offline </w:t>
      </w:r>
      <w:r w:rsidR="00CB6927" w:rsidRPr="001438A5">
        <w:rPr>
          <w:rFonts w:ascii="Times" w:hAnsi="Times" w:cs="Times"/>
          <w:b/>
          <w:u w:val="single"/>
        </w:rPr>
        <w:t>discussion</w:t>
      </w:r>
      <w:r w:rsidRPr="001438A5">
        <w:rPr>
          <w:rFonts w:ascii="Times" w:hAnsi="Times" w:cs="Times"/>
        </w:rPr>
        <w:t>: On</w:t>
      </w:r>
      <w:r w:rsidR="00D70C97" w:rsidRPr="001438A5">
        <w:rPr>
          <w:rFonts w:ascii="Times" w:hAnsi="Times" w:cs="Times"/>
        </w:rPr>
        <w:t xml:space="preserve"> UE capability </w:t>
      </w:r>
      <w:r w:rsidR="00CB6927" w:rsidRPr="001438A5">
        <w:rPr>
          <w:rFonts w:ascii="Times" w:hAnsi="Times" w:cs="Times"/>
        </w:rPr>
        <w:t>related to</w:t>
      </w:r>
      <w:r w:rsidR="00D70C97" w:rsidRPr="001438A5">
        <w:rPr>
          <w:rFonts w:ascii="Times" w:hAnsi="Times" w:cs="Times"/>
        </w:rPr>
        <w:t xml:space="preserve"> the number of PMI subbands</w:t>
      </w:r>
    </w:p>
    <w:p w14:paraId="577A3AFC" w14:textId="69D60D39" w:rsidR="001438A5" w:rsidRPr="001438A5" w:rsidRDefault="001438A5" w:rsidP="00CB6927">
      <w:pPr>
        <w:rPr>
          <w:rFonts w:ascii="Times" w:hAnsi="Times" w:cs="Times"/>
        </w:rPr>
      </w:pPr>
      <w:r w:rsidRPr="001438A5">
        <w:rPr>
          <w:rFonts w:ascii="Times" w:hAnsi="Times" w:cs="Times"/>
        </w:rPr>
        <w:t>Down select between the following alternatives</w:t>
      </w:r>
    </w:p>
    <w:p w14:paraId="308DAE88" w14:textId="77777777" w:rsidR="00D70C97" w:rsidRPr="001438A5" w:rsidRDefault="00D70C97" w:rsidP="00D70C97">
      <w:pPr>
        <w:pStyle w:val="Style1"/>
        <w:numPr>
          <w:ilvl w:val="0"/>
          <w:numId w:val="34"/>
        </w:numPr>
        <w:tabs>
          <w:tab w:val="left" w:pos="1334"/>
        </w:tabs>
        <w:spacing w:after="0" w:line="240" w:lineRule="auto"/>
        <w:jc w:val="left"/>
        <w:rPr>
          <w:rFonts w:ascii="Times" w:eastAsia="SimSun" w:hAnsi="Times" w:cs="Times"/>
          <w:sz w:val="20"/>
          <w:szCs w:val="24"/>
          <w:lang w:eastAsia="zh-CN"/>
        </w:rPr>
      </w:pPr>
      <w:r w:rsidRPr="001438A5">
        <w:rPr>
          <w:rFonts w:ascii="Times" w:eastAsia="SimSun" w:hAnsi="Times" w:cs="Times"/>
          <w:sz w:val="20"/>
          <w:szCs w:val="24"/>
          <w:lang w:eastAsia="zh-CN"/>
        </w:rPr>
        <w:t>Mandatory for all N3 values</w:t>
      </w:r>
    </w:p>
    <w:p w14:paraId="2964FB83" w14:textId="387DFBC4" w:rsidR="00D70C97" w:rsidRPr="001438A5" w:rsidRDefault="00D70C97" w:rsidP="00D70C97">
      <w:pPr>
        <w:pStyle w:val="Style1"/>
        <w:numPr>
          <w:ilvl w:val="0"/>
          <w:numId w:val="34"/>
        </w:numPr>
        <w:tabs>
          <w:tab w:val="left" w:pos="1334"/>
        </w:tabs>
        <w:spacing w:after="0" w:line="240" w:lineRule="auto"/>
        <w:jc w:val="left"/>
        <w:rPr>
          <w:rFonts w:ascii="Times" w:eastAsia="SimSun" w:hAnsi="Times" w:cs="Times"/>
          <w:sz w:val="20"/>
          <w:szCs w:val="24"/>
          <w:lang w:eastAsia="zh-CN"/>
        </w:rPr>
      </w:pPr>
      <w:r w:rsidRPr="001438A5">
        <w:rPr>
          <w:rFonts w:ascii="Times" w:eastAsia="SimSun" w:hAnsi="Times" w:cs="Times"/>
          <w:sz w:val="20"/>
          <w:szCs w:val="24"/>
          <w:lang w:eastAsia="zh-CN"/>
        </w:rPr>
        <w:t xml:space="preserve">Mandatory </w:t>
      </w:r>
      <w:r w:rsidR="00CB6927" w:rsidRPr="001438A5">
        <w:rPr>
          <w:rFonts w:ascii="Times" w:eastAsia="SimSun" w:hAnsi="Times" w:cs="Times"/>
          <w:sz w:val="20"/>
          <w:szCs w:val="24"/>
          <w:lang w:eastAsia="zh-CN"/>
        </w:rPr>
        <w:t>for N3&lt;=19, optional for N3&gt;19</w:t>
      </w:r>
    </w:p>
    <w:p w14:paraId="34147C0B" w14:textId="1FA9DD52" w:rsidR="00D70C97" w:rsidRDefault="00D70C97" w:rsidP="00D70C97">
      <w:pPr>
        <w:pStyle w:val="Style1"/>
        <w:numPr>
          <w:ilvl w:val="0"/>
          <w:numId w:val="34"/>
        </w:numPr>
        <w:tabs>
          <w:tab w:val="left" w:pos="1334"/>
        </w:tabs>
        <w:spacing w:after="0" w:line="240" w:lineRule="auto"/>
        <w:jc w:val="left"/>
        <w:rPr>
          <w:rFonts w:ascii="Times" w:eastAsia="SimSun" w:hAnsi="Times" w:cs="Times"/>
          <w:sz w:val="20"/>
          <w:szCs w:val="24"/>
          <w:lang w:eastAsia="zh-CN"/>
        </w:rPr>
      </w:pPr>
      <w:r w:rsidRPr="001438A5">
        <w:rPr>
          <w:rFonts w:ascii="Times" w:eastAsia="SimSun" w:hAnsi="Times" w:cs="Times"/>
          <w:sz w:val="20"/>
          <w:szCs w:val="24"/>
          <w:lang w:eastAsia="zh-CN"/>
        </w:rPr>
        <w:t>Mand</w:t>
      </w:r>
      <w:r w:rsidR="00CB6927" w:rsidRPr="001438A5">
        <w:rPr>
          <w:rFonts w:ascii="Times" w:eastAsia="SimSun" w:hAnsi="Times" w:cs="Times"/>
          <w:sz w:val="20"/>
          <w:szCs w:val="24"/>
          <w:lang w:eastAsia="zh-CN"/>
        </w:rPr>
        <w:t>atory for R=1, optional for R=2</w:t>
      </w:r>
    </w:p>
    <w:p w14:paraId="529C5CF8" w14:textId="5BE6CE08" w:rsidR="0011263B" w:rsidRPr="001438A5" w:rsidRDefault="0011263B" w:rsidP="00D70C97">
      <w:pPr>
        <w:pStyle w:val="Style1"/>
        <w:numPr>
          <w:ilvl w:val="0"/>
          <w:numId w:val="34"/>
        </w:numPr>
        <w:tabs>
          <w:tab w:val="left" w:pos="1334"/>
        </w:tabs>
        <w:spacing w:after="0" w:line="240" w:lineRule="auto"/>
        <w:jc w:val="left"/>
        <w:rPr>
          <w:rFonts w:ascii="Times" w:eastAsia="SimSun" w:hAnsi="Times" w:cs="Times"/>
          <w:sz w:val="20"/>
          <w:szCs w:val="24"/>
          <w:lang w:eastAsia="zh-CN"/>
        </w:rPr>
      </w:pPr>
      <w:r>
        <w:rPr>
          <w:rFonts w:ascii="Times" w:eastAsia="SimSun" w:hAnsi="Times" w:cs="Times"/>
          <w:sz w:val="20"/>
          <w:szCs w:val="24"/>
          <w:lang w:eastAsia="zh-CN"/>
        </w:rPr>
        <w:t>Madatory for (L,R) = (2,1), (2,2), (4,1), optional for (L,R) = (4,2)</w:t>
      </w:r>
    </w:p>
    <w:p w14:paraId="41473B80" w14:textId="02819DF6" w:rsidR="003F0B0C" w:rsidRPr="001438A5" w:rsidRDefault="00D70C97" w:rsidP="00D70C97">
      <w:pPr>
        <w:spacing w:after="0"/>
        <w:rPr>
          <w:rFonts w:ascii="Times" w:hAnsi="Times" w:cs="Times"/>
          <w:szCs w:val="22"/>
        </w:rPr>
      </w:pPr>
      <w:r w:rsidRPr="001438A5">
        <w:rPr>
          <w:rFonts w:ascii="Times" w:hAnsi="Times" w:cs="Times"/>
          <w:szCs w:val="22"/>
        </w:rPr>
        <w:t>Cf. Notes in UE capability agreement in RAN1#98bis regarding “mandatory” and “optional”</w:t>
      </w:r>
    </w:p>
    <w:p w14:paraId="021488A6" w14:textId="2B7C5E9D" w:rsidR="00CB6927" w:rsidRPr="001438A5" w:rsidRDefault="00CB6927" w:rsidP="00C5090F">
      <w:pPr>
        <w:spacing w:after="0"/>
        <w:rPr>
          <w:rFonts w:ascii="Times" w:hAnsi="Times" w:cs="Times"/>
          <w:szCs w:val="22"/>
        </w:rPr>
      </w:pPr>
    </w:p>
    <w:p w14:paraId="63482559" w14:textId="77777777" w:rsidR="00CB6927" w:rsidRPr="001438A5" w:rsidRDefault="00CB6927" w:rsidP="00CB6927">
      <w:pPr>
        <w:spacing w:line="288" w:lineRule="auto"/>
        <w:contextualSpacing/>
        <w:rPr>
          <w:rFonts w:ascii="Times" w:hAnsi="Times" w:cs="Times"/>
        </w:rPr>
      </w:pPr>
      <w:r w:rsidRPr="001438A5">
        <w:rPr>
          <w:rFonts w:ascii="Times" w:hAnsi="Times" w:cs="Times"/>
          <w:b/>
          <w:u w:val="single"/>
        </w:rPr>
        <w:t>Offline agreement</w:t>
      </w:r>
      <w:r w:rsidRPr="001438A5">
        <w:rPr>
          <w:rFonts w:ascii="Times" w:hAnsi="Times" w:cs="Times"/>
        </w:rPr>
        <w:t>: On UE capability related to the number PMI subbands, in RAN1#99, down select between these two alternatives:</w:t>
      </w:r>
    </w:p>
    <w:p w14:paraId="61CDB4BA" w14:textId="77777777" w:rsidR="00CB6927" w:rsidRPr="001438A5" w:rsidRDefault="00CB6927" w:rsidP="00CB6927">
      <w:pPr>
        <w:pStyle w:val="ListParagraph"/>
        <w:numPr>
          <w:ilvl w:val="0"/>
          <w:numId w:val="35"/>
        </w:numPr>
        <w:spacing w:after="120" w:line="288" w:lineRule="auto"/>
        <w:rPr>
          <w:rFonts w:cs="Times"/>
          <w:szCs w:val="20"/>
        </w:rPr>
      </w:pPr>
      <w:r w:rsidRPr="001438A5">
        <w:rPr>
          <w:rFonts w:cs="Times"/>
          <w:szCs w:val="20"/>
        </w:rPr>
        <w:t xml:space="preserve">Alt2. </w:t>
      </w:r>
      <w:r w:rsidRPr="001438A5">
        <w:rPr>
          <w:rFonts w:cs="Times"/>
          <w:szCs w:val="20"/>
          <w:lang w:eastAsia="zh-CN"/>
        </w:rPr>
        <w:t>Mandatory for N3&lt;=19, optional for N3&gt;19</w:t>
      </w:r>
    </w:p>
    <w:p w14:paraId="2B9B24E7" w14:textId="77777777" w:rsidR="00CB6927" w:rsidRPr="001438A5" w:rsidRDefault="00CB6927" w:rsidP="00CB6927">
      <w:pPr>
        <w:pStyle w:val="ListParagraph"/>
        <w:numPr>
          <w:ilvl w:val="0"/>
          <w:numId w:val="35"/>
        </w:numPr>
        <w:spacing w:after="120" w:line="288" w:lineRule="auto"/>
        <w:rPr>
          <w:rFonts w:cs="Times"/>
          <w:szCs w:val="20"/>
        </w:rPr>
      </w:pPr>
      <w:r w:rsidRPr="001438A5">
        <w:rPr>
          <w:rFonts w:cs="Times"/>
          <w:szCs w:val="20"/>
          <w:lang w:eastAsia="zh-CN"/>
        </w:rPr>
        <w:t>Alt3. Mandatory for R=1, optional for R=2</w:t>
      </w:r>
    </w:p>
    <w:p w14:paraId="5D468992" w14:textId="1F6CA445" w:rsidR="00CB6927" w:rsidRDefault="00CB6927" w:rsidP="00D70C97">
      <w:pPr>
        <w:spacing w:after="0"/>
        <w:rPr>
          <w:rFonts w:ascii="Times" w:hAnsi="Times" w:cs="Times"/>
          <w:szCs w:val="22"/>
        </w:rPr>
      </w:pPr>
    </w:p>
    <w:p w14:paraId="25E6B386" w14:textId="3FB84B24" w:rsidR="00DC6D1C" w:rsidRDefault="00DC6D1C" w:rsidP="00D70C97">
      <w:pPr>
        <w:spacing w:after="0"/>
        <w:rPr>
          <w:rFonts w:ascii="Times" w:hAnsi="Times" w:cs="Times"/>
          <w:szCs w:val="22"/>
        </w:rPr>
      </w:pPr>
    </w:p>
    <w:p w14:paraId="1C2773E1" w14:textId="77777777" w:rsidR="00DC6D1C" w:rsidRPr="001438A5" w:rsidRDefault="00DC6D1C" w:rsidP="00D70C97">
      <w:pPr>
        <w:spacing w:after="0"/>
        <w:rPr>
          <w:rFonts w:ascii="Times" w:hAnsi="Times" w:cs="Times"/>
          <w:szCs w:val="22"/>
        </w:rPr>
      </w:pPr>
    </w:p>
    <w:p w14:paraId="4DEA7AEB" w14:textId="6800C8D1" w:rsidR="00CB6927" w:rsidRPr="001438A5" w:rsidRDefault="00CB6927" w:rsidP="00CB6927">
      <w:pPr>
        <w:rPr>
          <w:rFonts w:ascii="Times" w:hAnsi="Times" w:cs="Times"/>
        </w:rPr>
      </w:pPr>
      <w:r w:rsidRPr="001438A5">
        <w:rPr>
          <w:rFonts w:ascii="Times" w:hAnsi="Times" w:cs="Times"/>
          <w:b/>
          <w:u w:val="single"/>
        </w:rPr>
        <w:lastRenderedPageBreak/>
        <w:t>Offline discussion</w:t>
      </w:r>
      <w:r w:rsidRPr="001438A5">
        <w:rPr>
          <w:rFonts w:ascii="Times" w:hAnsi="Times" w:cs="Times"/>
        </w:rPr>
        <w:t>: On UE capability related to the UE behaviour for CBSR</w:t>
      </w:r>
    </w:p>
    <w:p w14:paraId="0393878E" w14:textId="77777777" w:rsidR="00CB6927" w:rsidRPr="001438A5" w:rsidRDefault="00CB6927" w:rsidP="00CB6927">
      <w:pPr>
        <w:spacing w:line="288" w:lineRule="auto"/>
        <w:rPr>
          <w:rFonts w:ascii="Times" w:hAnsi="Times" w:cs="Times"/>
        </w:rPr>
      </w:pPr>
      <w:r w:rsidRPr="001438A5">
        <w:rPr>
          <w:rFonts w:ascii="Times" w:hAnsi="Times" w:cs="Times"/>
          <w:u w:val="single"/>
        </w:rPr>
        <w:t>When the UE is not capable of “Alt3A”</w:t>
      </w:r>
      <w:r w:rsidRPr="001438A5">
        <w:rPr>
          <w:rFonts w:ascii="Times" w:hAnsi="Times" w:cs="Times"/>
        </w:rPr>
        <w:t xml:space="preserve"> (soft amplitude restriction), the following issues are to be discussed:</w:t>
      </w:r>
    </w:p>
    <w:p w14:paraId="4DC3F32E" w14:textId="77777777" w:rsidR="00CB6927" w:rsidRPr="001438A5" w:rsidRDefault="00CB6927" w:rsidP="001438A5">
      <w:pPr>
        <w:pStyle w:val="ListParagraph"/>
        <w:numPr>
          <w:ilvl w:val="0"/>
          <w:numId w:val="36"/>
        </w:numPr>
        <w:spacing w:after="120" w:line="288" w:lineRule="auto"/>
        <w:ind w:left="720"/>
        <w:jc w:val="both"/>
        <w:rPr>
          <w:rFonts w:cs="Times"/>
        </w:rPr>
      </w:pPr>
      <w:r w:rsidRPr="001438A5">
        <w:rPr>
          <w:rFonts w:cs="Times"/>
        </w:rPr>
        <w:t>Whether some additional text (CR) is needed for Rel.15 Type II CBSR and, if so, the text</w:t>
      </w:r>
    </w:p>
    <w:p w14:paraId="71550612" w14:textId="77777777" w:rsidR="00CB6927" w:rsidRPr="001438A5" w:rsidRDefault="00CB6927" w:rsidP="001438A5">
      <w:pPr>
        <w:pStyle w:val="ListParagraph"/>
        <w:numPr>
          <w:ilvl w:val="1"/>
          <w:numId w:val="36"/>
        </w:numPr>
        <w:spacing w:after="120" w:line="288" w:lineRule="auto"/>
        <w:ind w:left="1440"/>
        <w:jc w:val="both"/>
        <w:rPr>
          <w:rFonts w:cs="Times"/>
        </w:rPr>
      </w:pPr>
      <w:r w:rsidRPr="001438A5">
        <w:rPr>
          <w:rFonts w:cs="Times"/>
        </w:rPr>
        <w:t>Note: Strictly speaking this does not fall into the “scope” of Rel.16 NR_eMIMO. It is discussed here since Rel.16 Type II CBSR will most likely reuse the same UE behavior (see #2 below).</w:t>
      </w:r>
    </w:p>
    <w:p w14:paraId="65D6E2FD" w14:textId="77777777" w:rsidR="00CB6927" w:rsidRPr="001438A5" w:rsidRDefault="00CB6927" w:rsidP="001438A5">
      <w:pPr>
        <w:pStyle w:val="ListParagraph"/>
        <w:numPr>
          <w:ilvl w:val="0"/>
          <w:numId w:val="36"/>
        </w:numPr>
        <w:spacing w:after="120" w:line="288" w:lineRule="auto"/>
        <w:ind w:left="720"/>
        <w:jc w:val="both"/>
        <w:rPr>
          <w:rFonts w:cs="Times"/>
        </w:rPr>
      </w:pPr>
      <w:r w:rsidRPr="001438A5">
        <w:rPr>
          <w:rFonts w:cs="Times"/>
        </w:rPr>
        <w:t>How to clarify the UE behavior for Rel.16 Type II CBSR when the UE is not capable of “Alt3A” (soft amplitude restriction)</w:t>
      </w:r>
    </w:p>
    <w:p w14:paraId="7FCEE6E3" w14:textId="77777777" w:rsidR="00CB6927" w:rsidRPr="001438A5" w:rsidRDefault="00CB6927" w:rsidP="001438A5">
      <w:pPr>
        <w:pStyle w:val="ListParagraph"/>
        <w:numPr>
          <w:ilvl w:val="1"/>
          <w:numId w:val="36"/>
        </w:numPr>
        <w:spacing w:after="120" w:line="288" w:lineRule="auto"/>
        <w:ind w:left="1440"/>
        <w:jc w:val="both"/>
        <w:rPr>
          <w:rFonts w:cs="Times"/>
        </w:rPr>
      </w:pPr>
      <w:r w:rsidRPr="001438A5">
        <w:rPr>
          <w:rFonts w:cs="Times"/>
        </w:rPr>
        <w:t>This may or may not have to depend on #1 above</w:t>
      </w:r>
    </w:p>
    <w:p w14:paraId="41C78CA8" w14:textId="77777777" w:rsidR="00CB6927" w:rsidRPr="001438A5" w:rsidRDefault="00CB6927" w:rsidP="00CB6927">
      <w:pPr>
        <w:spacing w:after="0"/>
        <w:rPr>
          <w:rFonts w:ascii="Times" w:hAnsi="Times" w:cs="Times"/>
          <w:szCs w:val="22"/>
        </w:rPr>
      </w:pPr>
    </w:p>
    <w:p w14:paraId="2C65A491" w14:textId="77777777" w:rsidR="00CB6927" w:rsidRPr="001438A5" w:rsidRDefault="00CB6927" w:rsidP="00CB6927">
      <w:pPr>
        <w:spacing w:line="288" w:lineRule="auto"/>
        <w:contextualSpacing/>
        <w:rPr>
          <w:rFonts w:ascii="Times" w:hAnsi="Times" w:cs="Times"/>
        </w:rPr>
      </w:pPr>
      <w:r w:rsidRPr="001438A5">
        <w:rPr>
          <w:rFonts w:ascii="Times" w:hAnsi="Times" w:cs="Times"/>
          <w:b/>
          <w:u w:val="single"/>
        </w:rPr>
        <w:t>Offline agreement</w:t>
      </w:r>
      <w:r w:rsidRPr="001438A5">
        <w:rPr>
          <w:rFonts w:ascii="Times" w:hAnsi="Times" w:cs="Times"/>
        </w:rPr>
        <w:t>: On CBSR:</w:t>
      </w:r>
    </w:p>
    <w:p w14:paraId="52671841" w14:textId="77777777" w:rsidR="00CB6927" w:rsidRPr="001438A5" w:rsidRDefault="00CB6927" w:rsidP="00CB6927">
      <w:pPr>
        <w:pStyle w:val="ListParagraph"/>
        <w:numPr>
          <w:ilvl w:val="0"/>
          <w:numId w:val="35"/>
        </w:numPr>
        <w:spacing w:after="120" w:line="288" w:lineRule="auto"/>
        <w:jc w:val="both"/>
        <w:rPr>
          <w:rFonts w:cs="Times"/>
          <w:szCs w:val="20"/>
        </w:rPr>
      </w:pPr>
      <w:r w:rsidRPr="001438A5">
        <w:rPr>
          <w:rFonts w:cs="Times"/>
          <w:szCs w:val="20"/>
        </w:rPr>
        <w:t xml:space="preserve">In RAN1#99, agree on the additional text (draft CR) for </w:t>
      </w:r>
      <w:r w:rsidRPr="001438A5">
        <w:rPr>
          <w:rFonts w:cs="Times"/>
        </w:rPr>
        <w:t xml:space="preserve">clarifying the UE behavior when the UE does not report </w:t>
      </w:r>
      <w:r w:rsidRPr="001438A5">
        <w:rPr>
          <w:rFonts w:eastAsia="Malgun Gothic" w:cs="Times"/>
          <w:i/>
          <w:szCs w:val="20"/>
        </w:rPr>
        <w:t>amplitudeSubsetRestriction</w:t>
      </w:r>
      <w:r w:rsidRPr="001438A5">
        <w:rPr>
          <w:rFonts w:eastAsia="Malgun Gothic" w:cs="Times"/>
          <w:szCs w:val="20"/>
        </w:rPr>
        <w:t>=’supported’</w:t>
      </w:r>
    </w:p>
    <w:p w14:paraId="581A5DB0" w14:textId="77777777" w:rsidR="00CB6927" w:rsidRPr="001438A5" w:rsidRDefault="00CB6927" w:rsidP="00CB6927">
      <w:pPr>
        <w:pStyle w:val="ListParagraph"/>
        <w:numPr>
          <w:ilvl w:val="1"/>
          <w:numId w:val="35"/>
        </w:numPr>
        <w:spacing w:after="120" w:line="288" w:lineRule="auto"/>
        <w:jc w:val="both"/>
        <w:rPr>
          <w:rFonts w:cs="Times"/>
          <w:szCs w:val="20"/>
        </w:rPr>
      </w:pPr>
      <w:r w:rsidRPr="001438A5">
        <w:rPr>
          <w:rFonts w:eastAsia="Malgun Gothic" w:cs="Times"/>
          <w:szCs w:val="20"/>
        </w:rPr>
        <w:t>Draft CR proposals to be submitted to Rel.15 MIMO maintenance AI</w:t>
      </w:r>
    </w:p>
    <w:p w14:paraId="06890E3F" w14:textId="77777777" w:rsidR="00CB6927" w:rsidRPr="001438A5" w:rsidRDefault="00CB6927" w:rsidP="00CB6927">
      <w:pPr>
        <w:pStyle w:val="ListParagraph"/>
        <w:numPr>
          <w:ilvl w:val="0"/>
          <w:numId w:val="35"/>
        </w:numPr>
        <w:spacing w:after="120" w:line="288" w:lineRule="auto"/>
        <w:jc w:val="both"/>
        <w:rPr>
          <w:rFonts w:cs="Times"/>
          <w:szCs w:val="20"/>
        </w:rPr>
      </w:pPr>
      <w:r w:rsidRPr="001438A5">
        <w:rPr>
          <w:rFonts w:cs="Times"/>
          <w:szCs w:val="20"/>
        </w:rPr>
        <w:t>The same UE behavior for dealing with Rel.15 Type II CBSR is applied to Rel.16 Type II CBSR when the UE does not support soft amplitude restriction (“Alt3A” in RAN1#98bis)</w:t>
      </w:r>
    </w:p>
    <w:p w14:paraId="52F42A2D" w14:textId="77777777" w:rsidR="00CB6927" w:rsidRPr="001438A5" w:rsidRDefault="00CB6927" w:rsidP="00CB6927">
      <w:pPr>
        <w:pStyle w:val="ListParagraph"/>
        <w:numPr>
          <w:ilvl w:val="1"/>
          <w:numId w:val="35"/>
        </w:numPr>
        <w:spacing w:after="120" w:line="288" w:lineRule="auto"/>
        <w:jc w:val="both"/>
        <w:rPr>
          <w:rFonts w:cs="Times"/>
          <w:szCs w:val="20"/>
        </w:rPr>
      </w:pPr>
      <w:r w:rsidRPr="001438A5">
        <w:rPr>
          <w:rFonts w:cs="Times"/>
          <w:szCs w:val="20"/>
        </w:rPr>
        <w:t>Note: The agreement in RAN1#98bis implies that a UE capability on whether the UE supports soft amplitude restriction is introduced</w:t>
      </w:r>
    </w:p>
    <w:p w14:paraId="52B97341" w14:textId="77777777" w:rsidR="007145D6" w:rsidRPr="001438A5" w:rsidRDefault="007145D6" w:rsidP="00D70C97">
      <w:pPr>
        <w:spacing w:after="0"/>
        <w:rPr>
          <w:rFonts w:ascii="Times" w:hAnsi="Times" w:cs="Times"/>
          <w:szCs w:val="22"/>
        </w:rPr>
      </w:pPr>
    </w:p>
    <w:p w14:paraId="2C1376F8" w14:textId="28CEA8A3" w:rsidR="001438A5" w:rsidRPr="001438A5" w:rsidRDefault="001438A5" w:rsidP="001438A5">
      <w:pPr>
        <w:rPr>
          <w:rFonts w:ascii="Times" w:hAnsi="Times" w:cs="Times"/>
        </w:rPr>
      </w:pPr>
      <w:r w:rsidRPr="001438A5">
        <w:rPr>
          <w:rFonts w:ascii="Times" w:hAnsi="Times" w:cs="Times"/>
          <w:b/>
          <w:u w:val="single"/>
        </w:rPr>
        <w:t>Offline discussion</w:t>
      </w:r>
      <w:r w:rsidRPr="001438A5">
        <w:rPr>
          <w:rFonts w:ascii="Times" w:hAnsi="Times" w:cs="Times"/>
        </w:rPr>
        <w:t>: On UE capability for concurrent codebooks</w:t>
      </w:r>
    </w:p>
    <w:p w14:paraId="01C7D3B3" w14:textId="0E4EEB58" w:rsidR="001438A5" w:rsidRPr="001438A5" w:rsidRDefault="001438A5" w:rsidP="001438A5">
      <w:pPr>
        <w:rPr>
          <w:rFonts w:ascii="Times" w:hAnsi="Times" w:cs="Times"/>
        </w:rPr>
      </w:pPr>
      <w:r w:rsidRPr="001438A5">
        <w:rPr>
          <w:rFonts w:ascii="Times" w:hAnsi="Times" w:cs="Times"/>
        </w:rPr>
        <w:t>Down select between the following alternatives:</w:t>
      </w:r>
    </w:p>
    <w:p w14:paraId="3A5CAA61" w14:textId="77777777" w:rsidR="001438A5" w:rsidRPr="001438A5" w:rsidRDefault="001438A5" w:rsidP="001438A5">
      <w:pPr>
        <w:pStyle w:val="ListParagraph"/>
        <w:numPr>
          <w:ilvl w:val="0"/>
          <w:numId w:val="37"/>
        </w:numPr>
        <w:spacing w:after="120" w:line="288" w:lineRule="auto"/>
        <w:ind w:left="720"/>
        <w:jc w:val="both"/>
        <w:rPr>
          <w:rFonts w:cs="Times"/>
        </w:rPr>
      </w:pPr>
      <w:r w:rsidRPr="001438A5">
        <w:rPr>
          <w:rFonts w:cs="Times"/>
        </w:rPr>
        <w:t>Alt1: Report concurrent codebook capabilities, e.g., Rel-15 Type II + Type I, Rel-16 Type II + Type I;</w:t>
      </w:r>
    </w:p>
    <w:p w14:paraId="10011472" w14:textId="77777777" w:rsidR="001438A5" w:rsidRPr="001438A5" w:rsidRDefault="001438A5" w:rsidP="001438A5">
      <w:pPr>
        <w:pStyle w:val="ListParagraph"/>
        <w:numPr>
          <w:ilvl w:val="0"/>
          <w:numId w:val="37"/>
        </w:numPr>
        <w:spacing w:after="120" w:line="288" w:lineRule="auto"/>
        <w:ind w:left="720"/>
        <w:jc w:val="both"/>
        <w:rPr>
          <w:rFonts w:cs="Times"/>
        </w:rPr>
      </w:pPr>
      <w:r w:rsidRPr="001438A5">
        <w:rPr>
          <w:rFonts w:cs="Times"/>
        </w:rPr>
        <w:t>Alt2: The capability of concurrent codebooks should be within the capability of each codebook</w:t>
      </w:r>
    </w:p>
    <w:p w14:paraId="147A1EA7" w14:textId="77777777" w:rsidR="001438A5" w:rsidRPr="001438A5" w:rsidRDefault="001438A5" w:rsidP="001438A5">
      <w:pPr>
        <w:pStyle w:val="ListParagraph"/>
        <w:numPr>
          <w:ilvl w:val="1"/>
          <w:numId w:val="37"/>
        </w:numPr>
        <w:spacing w:after="120" w:line="288" w:lineRule="auto"/>
        <w:ind w:left="1440"/>
        <w:jc w:val="both"/>
        <w:rPr>
          <w:rFonts w:cs="Times"/>
        </w:rPr>
      </w:pPr>
      <w:r w:rsidRPr="001438A5">
        <w:rPr>
          <w:rFonts w:cs="Times"/>
        </w:rPr>
        <w:t xml:space="preserve">For concurrent codebook 1 scheduled with </w:t>
      </w:r>
      <m:oMath>
        <m:d>
          <m:dPr>
            <m:ctrlPr>
              <w:rPr>
                <w:rFonts w:ascii="Cambria Math" w:hAnsi="Cambria Math" w:cs="Times"/>
              </w:rPr>
            </m:ctrlPr>
          </m:dPr>
          <m:e>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1</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k</m:t>
                </m:r>
              </m:e>
              <m:sub>
                <m:r>
                  <m:rPr>
                    <m:sty m:val="p"/>
                  </m:rPr>
                  <w:rPr>
                    <w:rFonts w:ascii="Cambria Math" w:hAnsi="Cambria Math" w:cs="Times"/>
                  </w:rPr>
                  <m:t>1</m:t>
                </m:r>
              </m:sub>
            </m:sSub>
          </m:e>
        </m:d>
      </m:oMath>
      <w:r w:rsidRPr="001438A5">
        <w:rPr>
          <w:rFonts w:cs="Times"/>
        </w:rPr>
        <w:t xml:space="preserve"> and codebook 2 scheduled with </w:t>
      </w:r>
      <m:oMath>
        <m:d>
          <m:dPr>
            <m:ctrlPr>
              <w:rPr>
                <w:rFonts w:ascii="Cambria Math" w:hAnsi="Cambria Math" w:cs="Times"/>
              </w:rPr>
            </m:ctrlPr>
          </m:dPr>
          <m:e>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2</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k</m:t>
                </m:r>
              </m:e>
              <m:sub>
                <m:r>
                  <m:rPr>
                    <m:sty m:val="p"/>
                  </m:rPr>
                  <w:rPr>
                    <w:rFonts w:ascii="Cambria Math" w:hAnsi="Cambria Math" w:cs="Times"/>
                  </w:rPr>
                  <m:t>2</m:t>
                </m:r>
              </m:sub>
            </m:sSub>
          </m:e>
        </m:d>
      </m:oMath>
      <w:r w:rsidRPr="001438A5">
        <w:rPr>
          <w:rFonts w:cs="Times"/>
        </w:rPr>
        <w:t xml:space="preserve">, where </w:t>
      </w:r>
      <m:oMath>
        <m:sSub>
          <m:sSubPr>
            <m:ctrlPr>
              <w:rPr>
                <w:rFonts w:ascii="Cambria Math" w:hAnsi="Cambria Math" w:cs="Times"/>
              </w:rPr>
            </m:ctrlPr>
          </m:sSubPr>
          <m:e>
            <m:r>
              <w:rPr>
                <w:rFonts w:ascii="Cambria Math" w:hAnsi="Cambria Math" w:cs="Times"/>
              </w:rPr>
              <m:t>p</m:t>
            </m:r>
          </m:e>
          <m:sub>
            <m:r>
              <w:rPr>
                <w:rFonts w:ascii="Cambria Math" w:hAnsi="Cambria Math" w:cs="Times"/>
              </w:rPr>
              <m:t>i</m:t>
            </m:r>
          </m:sub>
        </m:sSub>
      </m:oMath>
      <w:r w:rsidRPr="001438A5">
        <w:rPr>
          <w:rFonts w:cs="Times"/>
        </w:rPr>
        <w:t xml:space="preserve"> and </w:t>
      </w:r>
      <m:oMath>
        <m:sSub>
          <m:sSubPr>
            <m:ctrlPr>
              <w:rPr>
                <w:rFonts w:ascii="Cambria Math" w:hAnsi="Cambria Math" w:cs="Times"/>
              </w:rPr>
            </m:ctrlPr>
          </m:sSubPr>
          <m:e>
            <m:r>
              <w:rPr>
                <w:rFonts w:ascii="Cambria Math" w:hAnsi="Cambria Math" w:cs="Times"/>
              </w:rPr>
              <m:t>k</m:t>
            </m:r>
          </m:e>
          <m:sub>
            <m:r>
              <w:rPr>
                <w:rFonts w:ascii="Cambria Math" w:hAnsi="Cambria Math" w:cs="Times"/>
              </w:rPr>
              <m:t>i</m:t>
            </m:r>
          </m:sub>
        </m:sSub>
      </m:oMath>
      <w:r w:rsidRPr="001438A5">
        <w:rPr>
          <w:rFonts w:cs="Times"/>
        </w:rPr>
        <w:t xml:space="preserve"> denote the number of ports per resource and the number of resources for codebook </w:t>
      </w:r>
      <m:oMath>
        <m:r>
          <w:rPr>
            <w:rFonts w:ascii="Cambria Math" w:hAnsi="Cambria Math" w:cs="Times"/>
          </w:rPr>
          <m:t>i</m:t>
        </m:r>
      </m:oMath>
      <w:r w:rsidRPr="001438A5">
        <w:rPr>
          <w:rFonts w:cs="Times"/>
        </w:rPr>
        <w:t xml:space="preserve"> triggered by the gNB, the UE expects </w:t>
      </w:r>
      <m:oMath>
        <m:d>
          <m:dPr>
            <m:ctrlPr>
              <w:rPr>
                <w:rFonts w:ascii="Cambria Math" w:hAnsi="Cambria Math" w:cs="Times"/>
              </w:rPr>
            </m:ctrlPr>
          </m:dPr>
          <m:e>
            <m:func>
              <m:funcPr>
                <m:ctrlPr>
                  <w:rPr>
                    <w:rFonts w:ascii="Cambria Math" w:hAnsi="Cambria Math" w:cs="Times"/>
                  </w:rPr>
                </m:ctrlPr>
              </m:funcPr>
              <m:fName>
                <m:r>
                  <m:rPr>
                    <m:sty m:val="p"/>
                  </m:rPr>
                  <w:rPr>
                    <w:rFonts w:ascii="Cambria Math" w:hAnsi="Cambria Math" w:cs="Times"/>
                  </w:rPr>
                  <m:t>max</m:t>
                </m:r>
              </m:fName>
              <m:e>
                <m:d>
                  <m:dPr>
                    <m:begChr m:val="{"/>
                    <m:endChr m:val="}"/>
                    <m:ctrlPr>
                      <w:rPr>
                        <w:rFonts w:ascii="Cambria Math" w:hAnsi="Cambria Math" w:cs="Times"/>
                      </w:rPr>
                    </m:ctrlPr>
                  </m:dPr>
                  <m:e>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1</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2</m:t>
                        </m:r>
                      </m:sub>
                    </m:sSub>
                  </m:e>
                </m:d>
              </m:e>
            </m:func>
            <m:r>
              <m:rPr>
                <m:sty m:val="p"/>
              </m:rPr>
              <w:rPr>
                <w:rFonts w:ascii="Cambria Math" w:hAnsi="Cambria Math" w:cs="Times"/>
              </w:rPr>
              <m:t xml:space="preserve">, </m:t>
            </m:r>
            <m:sSub>
              <m:sSubPr>
                <m:ctrlPr>
                  <w:rPr>
                    <w:rFonts w:ascii="Cambria Math" w:hAnsi="Cambria Math" w:cs="Times"/>
                  </w:rPr>
                </m:ctrlPr>
              </m:sSubPr>
              <m:e>
                <m:r>
                  <w:rPr>
                    <w:rFonts w:ascii="Cambria Math" w:hAnsi="Cambria Math" w:cs="Times"/>
                  </w:rPr>
                  <m:t>k</m:t>
                </m:r>
              </m:e>
              <m:sub>
                <m:r>
                  <m:rPr>
                    <m:sty m:val="p"/>
                  </m:rPr>
                  <w:rPr>
                    <w:rFonts w:ascii="Cambria Math" w:hAnsi="Cambria Math" w:cs="Times"/>
                  </w:rPr>
                  <m:t>1</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k</m:t>
                </m:r>
              </m:e>
              <m:sub>
                <m:r>
                  <m:rPr>
                    <m:sty m:val="p"/>
                  </m:rPr>
                  <w:rPr>
                    <w:rFonts w:ascii="Cambria Math" w:hAnsi="Cambria Math" w:cs="Times"/>
                  </w:rPr>
                  <m:t>2</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1</m:t>
                </m:r>
              </m:sub>
            </m:sSub>
            <m:sSub>
              <m:sSubPr>
                <m:ctrlPr>
                  <w:rPr>
                    <w:rFonts w:ascii="Cambria Math" w:hAnsi="Cambria Math" w:cs="Times"/>
                  </w:rPr>
                </m:ctrlPr>
              </m:sSubPr>
              <m:e>
                <m:r>
                  <w:rPr>
                    <w:rFonts w:ascii="Cambria Math" w:hAnsi="Cambria Math" w:cs="Times"/>
                  </w:rPr>
                  <m:t>k</m:t>
                </m:r>
              </m:e>
              <m:sub>
                <m:r>
                  <m:rPr>
                    <m:sty m:val="p"/>
                  </m:rPr>
                  <w:rPr>
                    <w:rFonts w:ascii="Cambria Math" w:hAnsi="Cambria Math" w:cs="Times"/>
                  </w:rPr>
                  <m:t>1</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p</m:t>
                </m:r>
              </m:e>
              <m:sub>
                <m:r>
                  <m:rPr>
                    <m:sty m:val="p"/>
                  </m:rPr>
                  <w:rPr>
                    <w:rFonts w:ascii="Cambria Math" w:hAnsi="Cambria Math" w:cs="Times"/>
                  </w:rPr>
                  <m:t>2</m:t>
                </m:r>
              </m:sub>
            </m:sSub>
            <m:sSub>
              <m:sSubPr>
                <m:ctrlPr>
                  <w:rPr>
                    <w:rFonts w:ascii="Cambria Math" w:hAnsi="Cambria Math" w:cs="Times"/>
                  </w:rPr>
                </m:ctrlPr>
              </m:sSubPr>
              <m:e>
                <m:r>
                  <w:rPr>
                    <w:rFonts w:ascii="Cambria Math" w:hAnsi="Cambria Math" w:cs="Times"/>
                  </w:rPr>
                  <m:t>k</m:t>
                </m:r>
              </m:e>
              <m:sub>
                <m:r>
                  <m:rPr>
                    <m:sty m:val="p"/>
                  </m:rPr>
                  <w:rPr>
                    <w:rFonts w:ascii="Cambria Math" w:hAnsi="Cambria Math" w:cs="Times"/>
                  </w:rPr>
                  <m:t>2</m:t>
                </m:r>
              </m:sub>
            </m:sSub>
          </m:e>
        </m:d>
      </m:oMath>
      <w:r w:rsidRPr="001438A5">
        <w:rPr>
          <w:rFonts w:cs="Times"/>
        </w:rPr>
        <w:t xml:space="preserve"> is within the capability report of both codebook 1 and codebook 2.</w:t>
      </w:r>
    </w:p>
    <w:p w14:paraId="2BF699DA" w14:textId="77777777" w:rsidR="001438A5" w:rsidRPr="001438A5" w:rsidRDefault="001438A5" w:rsidP="001438A5">
      <w:pPr>
        <w:pStyle w:val="ListParagraph"/>
        <w:numPr>
          <w:ilvl w:val="1"/>
          <w:numId w:val="37"/>
        </w:numPr>
        <w:spacing w:after="120" w:line="288" w:lineRule="auto"/>
        <w:ind w:left="1440"/>
        <w:jc w:val="both"/>
        <w:rPr>
          <w:rFonts w:cs="Times"/>
        </w:rPr>
      </w:pPr>
      <w:r w:rsidRPr="001438A5">
        <w:rPr>
          <w:rFonts w:cs="Times"/>
        </w:rPr>
        <w:t>E.g., (8,2) Type I + (16,1) Rel-16 Type II is valid if (max{8,16}, 2+1, 8*2+16*1)=(16,3,32) is within the reported capability of Type I and Rel-16 Type II</w:t>
      </w:r>
    </w:p>
    <w:p w14:paraId="0F50F77B" w14:textId="6E7AA77A" w:rsidR="001438A5" w:rsidRPr="00C5090F" w:rsidRDefault="001438A5" w:rsidP="00A41A8D">
      <w:pPr>
        <w:pStyle w:val="ListParagraph"/>
        <w:numPr>
          <w:ilvl w:val="0"/>
          <w:numId w:val="37"/>
        </w:numPr>
        <w:spacing w:after="120" w:line="288" w:lineRule="auto"/>
        <w:ind w:left="720"/>
        <w:jc w:val="both"/>
        <w:rPr>
          <w:rFonts w:cs="Times"/>
          <w:szCs w:val="22"/>
        </w:rPr>
      </w:pPr>
      <w:r w:rsidRPr="001438A5">
        <w:rPr>
          <w:rFonts w:cs="Times"/>
        </w:rPr>
        <w:t xml:space="preserve">Alt3: </w:t>
      </w:r>
      <w:r w:rsidRPr="001438A5">
        <w:rPr>
          <w:rFonts w:cs="Times"/>
          <w:lang w:eastAsia="zh-CN"/>
        </w:rPr>
        <w:t>A</w:t>
      </w:r>
      <w:r w:rsidRPr="001438A5">
        <w:rPr>
          <w:rFonts w:cs="Times"/>
        </w:rPr>
        <w:t xml:space="preserve"> complementary UE capability is </w:t>
      </w:r>
      <w:r w:rsidRPr="001438A5">
        <w:rPr>
          <w:rFonts w:cs="Times"/>
          <w:lang w:eastAsia="zh-CN"/>
        </w:rPr>
        <w:t>defined</w:t>
      </w:r>
      <w:r w:rsidRPr="001438A5">
        <w:rPr>
          <w:rFonts w:cs="Times"/>
        </w:rPr>
        <w:t xml:space="preserve"> to indicate additional codebook combinations supported by the UE or to indicate those codebook combinations not supported by the UE</w:t>
      </w:r>
      <w:r w:rsidRPr="001438A5">
        <w:rPr>
          <w:rFonts w:cs="Times"/>
          <w:lang w:eastAsia="zh-CN"/>
        </w:rPr>
        <w:t>.</w:t>
      </w:r>
    </w:p>
    <w:p w14:paraId="1A09416E" w14:textId="31553AB9" w:rsidR="001438A5" w:rsidRPr="001438A5" w:rsidRDefault="001438A5" w:rsidP="001438A5">
      <w:pPr>
        <w:rPr>
          <w:rFonts w:ascii="Times" w:hAnsi="Times" w:cs="Times"/>
        </w:rPr>
      </w:pPr>
      <w:r w:rsidRPr="001438A5">
        <w:rPr>
          <w:rFonts w:ascii="Times" w:hAnsi="Times" w:cs="Times"/>
          <w:b/>
          <w:u w:val="single"/>
        </w:rPr>
        <w:t>Offline agreement</w:t>
      </w:r>
      <w:r w:rsidRPr="001438A5">
        <w:rPr>
          <w:rFonts w:ascii="Times" w:hAnsi="Times" w:cs="Times"/>
        </w:rPr>
        <w:t>: On UE capability for concurrent codebook configuration, in RAN1#99, further discuss and identify alternatives (including not having such UE capability) for down selection in UE feature session</w:t>
      </w:r>
    </w:p>
    <w:p w14:paraId="7D825DB9" w14:textId="77777777" w:rsidR="001438A5" w:rsidRPr="00D70C97" w:rsidRDefault="001438A5" w:rsidP="00097A86">
      <w:pPr>
        <w:pStyle w:val="Observation"/>
        <w:numPr>
          <w:ilvl w:val="0"/>
          <w:numId w:val="0"/>
        </w:numPr>
      </w:pPr>
    </w:p>
    <w:p w14:paraId="0C1F80A1" w14:textId="02178B66" w:rsidR="0000320B" w:rsidRDefault="00360DB3" w:rsidP="000165CF">
      <w:pPr>
        <w:pStyle w:val="Heading2"/>
        <w:rPr>
          <w:lang w:val="en-US"/>
        </w:rPr>
      </w:pPr>
      <w:r>
        <w:rPr>
          <w:lang w:val="en-US"/>
        </w:rPr>
        <w:t xml:space="preserve">UE </w:t>
      </w:r>
      <w:r w:rsidR="000165CF">
        <w:rPr>
          <w:lang w:val="en-US"/>
        </w:rPr>
        <w:t>Capability on the Number of PMI Subbands</w:t>
      </w:r>
    </w:p>
    <w:p w14:paraId="712A0993" w14:textId="73059F1A" w:rsidR="0038381C" w:rsidRDefault="0011263B" w:rsidP="00812E75">
      <w:pPr>
        <w:spacing w:after="0" w:line="360" w:lineRule="auto"/>
        <w:rPr>
          <w:rFonts w:eastAsiaTheme="minorEastAsia"/>
        </w:rPr>
      </w:pPr>
      <w:r>
        <w:rPr>
          <w:rFonts w:eastAsiaTheme="minorEastAsia"/>
        </w:rPr>
        <w:t xml:space="preserve">Following </w:t>
      </w:r>
      <w:r w:rsidR="00EC1576">
        <w:rPr>
          <w:rFonts w:eastAsiaTheme="minorEastAsia"/>
        </w:rPr>
        <w:t>RAN1#98</w:t>
      </w:r>
      <w:r w:rsidR="007145D6">
        <w:rPr>
          <w:rFonts w:eastAsiaTheme="minorEastAsia"/>
        </w:rPr>
        <w:t>bis</w:t>
      </w:r>
      <w:r>
        <w:rPr>
          <w:rFonts w:eastAsiaTheme="minorEastAsia"/>
        </w:rPr>
        <w:t xml:space="preserve">, an offline discussion was held on UE capability issues related to the number of PMI subbands. </w:t>
      </w:r>
      <w:r w:rsidR="009267A8">
        <w:rPr>
          <w:rFonts w:eastAsiaTheme="minorEastAsia"/>
        </w:rPr>
        <w:t>Four</w:t>
      </w:r>
      <w:r>
        <w:rPr>
          <w:rFonts w:eastAsiaTheme="minorEastAsia"/>
        </w:rPr>
        <w:t xml:space="preserve"> alternatives were </w:t>
      </w:r>
      <w:r w:rsidR="009267A8">
        <w:rPr>
          <w:rFonts w:eastAsiaTheme="minorEastAsia"/>
        </w:rPr>
        <w:t>propos</w:t>
      </w:r>
      <w:r>
        <w:rPr>
          <w:rFonts w:eastAsiaTheme="minorEastAsia"/>
        </w:rPr>
        <w:t xml:space="preserve">ed by </w:t>
      </w:r>
      <w:r w:rsidR="009267A8">
        <w:rPr>
          <w:rFonts w:eastAsiaTheme="minorEastAsia"/>
        </w:rPr>
        <w:t>different</w:t>
      </w:r>
      <w:r>
        <w:rPr>
          <w:rFonts w:eastAsiaTheme="minorEastAsia"/>
        </w:rPr>
        <w:t xml:space="preserve"> companies: </w:t>
      </w:r>
      <w:r w:rsidR="009267A8">
        <w:rPr>
          <w:rFonts w:eastAsiaTheme="minorEastAsia"/>
        </w:rPr>
        <w:t>Alt</w:t>
      </w:r>
      <w:r>
        <w:rPr>
          <w:rFonts w:eastAsiaTheme="minorEastAsia"/>
        </w:rPr>
        <w:t xml:space="preserve">1) Supporting all </w:t>
      </w:r>
      <w:r w:rsidRPr="00C5090F">
        <w:rPr>
          <w:rFonts w:eastAsiaTheme="minorEastAsia"/>
          <w:i/>
          <w:iCs/>
        </w:rPr>
        <w:t>N</w:t>
      </w:r>
      <w:r w:rsidRPr="00C5090F">
        <w:rPr>
          <w:rFonts w:eastAsiaTheme="minorEastAsia"/>
          <w:i/>
          <w:iCs/>
          <w:vertAlign w:val="subscript"/>
        </w:rPr>
        <w:t>3</w:t>
      </w:r>
      <w:r>
        <w:rPr>
          <w:rFonts w:eastAsiaTheme="minorEastAsia"/>
        </w:rPr>
        <w:t xml:space="preserve"> values is mandatory, i.e., no additional sub-capability is required, or </w:t>
      </w:r>
      <w:r w:rsidR="009267A8">
        <w:rPr>
          <w:rFonts w:eastAsiaTheme="minorEastAsia"/>
        </w:rPr>
        <w:t>Alt</w:t>
      </w:r>
      <w:r>
        <w:rPr>
          <w:rFonts w:eastAsiaTheme="minorEastAsia"/>
        </w:rPr>
        <w:t xml:space="preserve">2) Supporting </w:t>
      </w:r>
      <w:r w:rsidRPr="00384511">
        <w:rPr>
          <w:rFonts w:eastAsiaTheme="minorEastAsia"/>
          <w:i/>
          <w:iCs/>
        </w:rPr>
        <w:t>N</w:t>
      </w:r>
      <w:r w:rsidRPr="00384511">
        <w:rPr>
          <w:rFonts w:eastAsiaTheme="minorEastAsia"/>
          <w:i/>
          <w:iCs/>
          <w:vertAlign w:val="subscript"/>
        </w:rPr>
        <w:t>3</w:t>
      </w:r>
      <w:r w:rsidRPr="00384511">
        <w:rPr>
          <w:rFonts w:eastAsiaTheme="minorEastAsia"/>
          <w:i/>
          <w:iCs/>
        </w:rPr>
        <w:t>&gt;19</w:t>
      </w:r>
      <w:r>
        <w:rPr>
          <w:rFonts w:eastAsiaTheme="minorEastAsia"/>
        </w:rPr>
        <w:t xml:space="preserve"> is optional, i.e., requires an additional UE sub-capability, or </w:t>
      </w:r>
      <w:r w:rsidR="009267A8">
        <w:rPr>
          <w:rFonts w:eastAsiaTheme="minorEastAsia"/>
        </w:rPr>
        <w:t>Alt</w:t>
      </w:r>
      <w:r>
        <w:rPr>
          <w:rFonts w:eastAsiaTheme="minorEastAsia"/>
        </w:rPr>
        <w:t xml:space="preserve">3) Supporting </w:t>
      </w:r>
      <w:r w:rsidRPr="00384511">
        <w:rPr>
          <w:rFonts w:eastAsiaTheme="minorEastAsia"/>
          <w:i/>
          <w:iCs/>
        </w:rPr>
        <w:t>R=2</w:t>
      </w:r>
      <w:r>
        <w:rPr>
          <w:rFonts w:eastAsiaTheme="minorEastAsia"/>
        </w:rPr>
        <w:t xml:space="preserve"> is optional, or </w:t>
      </w:r>
      <w:r w:rsidR="009267A8">
        <w:rPr>
          <w:rFonts w:eastAsiaTheme="minorEastAsia"/>
        </w:rPr>
        <w:t>Alt</w:t>
      </w:r>
      <w:r>
        <w:rPr>
          <w:rFonts w:eastAsiaTheme="minorEastAsia"/>
        </w:rPr>
        <w:t xml:space="preserve">4) Supporting the pair </w:t>
      </w:r>
      <w:r w:rsidRPr="00384511">
        <w:rPr>
          <w:rFonts w:eastAsiaTheme="minorEastAsia"/>
          <w:i/>
          <w:iCs/>
        </w:rPr>
        <w:t>(L,R) = (4,2)</w:t>
      </w:r>
      <w:r>
        <w:rPr>
          <w:rFonts w:eastAsiaTheme="minorEastAsia"/>
        </w:rPr>
        <w:t xml:space="preserve"> is optional. An offline agreement was reached to down select from Alt</w:t>
      </w:r>
      <w:r w:rsidR="00384511">
        <w:rPr>
          <w:rFonts w:eastAsiaTheme="minorEastAsia"/>
        </w:rPr>
        <w:t>2 and Alt3</w:t>
      </w:r>
      <w:r>
        <w:rPr>
          <w:rFonts w:eastAsiaTheme="minorEastAsia"/>
        </w:rPr>
        <w:t xml:space="preserve"> only.</w:t>
      </w:r>
      <w:r w:rsidR="007657E0">
        <w:rPr>
          <w:rFonts w:eastAsiaTheme="minorEastAsia"/>
        </w:rPr>
        <w:t xml:space="preserve"> One advantage of supporting </w:t>
      </w:r>
      <w:r w:rsidR="0097516B">
        <w:rPr>
          <w:rFonts w:eastAsiaTheme="minorEastAsia"/>
        </w:rPr>
        <w:t>Alt</w:t>
      </w:r>
      <w:r>
        <w:rPr>
          <w:rFonts w:eastAsiaTheme="minorEastAsia"/>
        </w:rPr>
        <w:t xml:space="preserve">2 </w:t>
      </w:r>
      <w:r w:rsidR="007657E0">
        <w:rPr>
          <w:rFonts w:eastAsiaTheme="minorEastAsia"/>
        </w:rPr>
        <w:t xml:space="preserve">is that the complexity/number of computations at the UE is more straightforwardly tied to </w:t>
      </w:r>
      <w:r w:rsidR="007657E0" w:rsidRPr="00384511">
        <w:rPr>
          <w:rFonts w:eastAsiaTheme="minorEastAsia"/>
          <w:i/>
          <w:iCs/>
        </w:rPr>
        <w:t>N</w:t>
      </w:r>
      <w:r w:rsidR="007657E0" w:rsidRPr="00384511">
        <w:rPr>
          <w:rFonts w:eastAsiaTheme="minorEastAsia"/>
          <w:i/>
          <w:iCs/>
          <w:vertAlign w:val="subscript"/>
        </w:rPr>
        <w:t>3</w:t>
      </w:r>
      <w:r w:rsidR="007657E0">
        <w:rPr>
          <w:rFonts w:eastAsiaTheme="minorEastAsia"/>
        </w:rPr>
        <w:t xml:space="preserve"> rather than </w:t>
      </w:r>
      <w:r w:rsidR="007657E0" w:rsidRPr="00384511">
        <w:rPr>
          <w:rFonts w:eastAsiaTheme="minorEastAsia"/>
          <w:i/>
          <w:iCs/>
        </w:rPr>
        <w:t>R</w:t>
      </w:r>
      <w:r w:rsidR="007657E0">
        <w:rPr>
          <w:rFonts w:eastAsiaTheme="minorEastAsia"/>
        </w:rPr>
        <w:t xml:space="preserve">, e.g., the number of SVD computations scale with </w:t>
      </w:r>
      <w:r w:rsidR="007657E0" w:rsidRPr="00384511">
        <w:rPr>
          <w:rFonts w:eastAsiaTheme="minorEastAsia"/>
          <w:i/>
          <w:iCs/>
        </w:rPr>
        <w:t>N</w:t>
      </w:r>
      <w:r w:rsidR="007657E0" w:rsidRPr="00384511">
        <w:rPr>
          <w:rFonts w:eastAsiaTheme="minorEastAsia"/>
          <w:i/>
          <w:iCs/>
          <w:vertAlign w:val="subscript"/>
        </w:rPr>
        <w:t>3</w:t>
      </w:r>
      <w:r w:rsidR="007657E0">
        <w:rPr>
          <w:rFonts w:eastAsiaTheme="minorEastAsia"/>
        </w:rPr>
        <w:t>. On</w:t>
      </w:r>
      <w:r w:rsidR="00412B4B">
        <w:rPr>
          <w:rFonts w:eastAsiaTheme="minorEastAsia"/>
        </w:rPr>
        <w:t>e other advan</w:t>
      </w:r>
      <w:r w:rsidR="0097516B">
        <w:rPr>
          <w:rFonts w:eastAsiaTheme="minorEastAsia"/>
        </w:rPr>
        <w:t>tage of A</w:t>
      </w:r>
      <w:bookmarkStart w:id="0" w:name="_GoBack"/>
      <w:bookmarkEnd w:id="0"/>
      <w:r w:rsidR="0097516B">
        <w:rPr>
          <w:rFonts w:eastAsiaTheme="minorEastAsia"/>
        </w:rPr>
        <w:t>lt</w:t>
      </w:r>
      <w:r w:rsidR="00412B4B">
        <w:rPr>
          <w:rFonts w:eastAsiaTheme="minorEastAsia"/>
        </w:rPr>
        <w:t xml:space="preserve">2 with respect to design complexity is that the FD basis </w:t>
      </w:r>
      <w:r w:rsidR="00412B4B">
        <w:rPr>
          <w:rFonts w:eastAsiaTheme="minorEastAsia"/>
        </w:rPr>
        <w:lastRenderedPageBreak/>
        <w:t xml:space="preserve">selection algorithm is different for </w:t>
      </w:r>
      <w:r w:rsidR="00412B4B" w:rsidRPr="00384511">
        <w:rPr>
          <w:rFonts w:eastAsiaTheme="minorEastAsia"/>
          <w:i/>
          <w:iCs/>
        </w:rPr>
        <w:t>N</w:t>
      </w:r>
      <w:r w:rsidR="00412B4B" w:rsidRPr="00384511">
        <w:rPr>
          <w:rFonts w:eastAsiaTheme="minorEastAsia"/>
          <w:i/>
          <w:iCs/>
          <w:vertAlign w:val="subscript"/>
        </w:rPr>
        <w:t>3</w:t>
      </w:r>
      <w:r w:rsidR="00412B4B" w:rsidRPr="00384511">
        <w:rPr>
          <w:rFonts w:eastAsiaTheme="minorEastAsia"/>
          <w:i/>
          <w:iCs/>
        </w:rPr>
        <w:t>≤19</w:t>
      </w:r>
      <w:r w:rsidR="00412B4B">
        <w:rPr>
          <w:rFonts w:eastAsiaTheme="minorEastAsia"/>
        </w:rPr>
        <w:t xml:space="preserve"> (Free selection) </w:t>
      </w:r>
      <w:r w:rsidR="009267A8">
        <w:rPr>
          <w:rFonts w:eastAsiaTheme="minorEastAsia"/>
        </w:rPr>
        <w:t>compared with</w:t>
      </w:r>
      <w:r w:rsidR="00412B4B">
        <w:rPr>
          <w:rFonts w:eastAsiaTheme="minorEastAsia"/>
        </w:rPr>
        <w:t xml:space="preserve"> that at </w:t>
      </w:r>
      <w:r w:rsidR="00412B4B" w:rsidRPr="00384511">
        <w:rPr>
          <w:rFonts w:eastAsiaTheme="minorEastAsia"/>
          <w:i/>
          <w:iCs/>
        </w:rPr>
        <w:t>N</w:t>
      </w:r>
      <w:r w:rsidR="00412B4B" w:rsidRPr="00384511">
        <w:rPr>
          <w:rFonts w:eastAsiaTheme="minorEastAsia"/>
          <w:i/>
          <w:iCs/>
          <w:vertAlign w:val="subscript"/>
        </w:rPr>
        <w:t>3</w:t>
      </w:r>
      <w:r w:rsidR="00412B4B" w:rsidRPr="00384511">
        <w:rPr>
          <w:rFonts w:eastAsiaTheme="minorEastAsia"/>
          <w:i/>
          <w:iCs/>
        </w:rPr>
        <w:t>&gt;19</w:t>
      </w:r>
      <w:r w:rsidR="00412B4B">
        <w:rPr>
          <w:rFonts w:eastAsiaTheme="minorEastAsia"/>
        </w:rPr>
        <w:t xml:space="preserve"> (Window-based sel</w:t>
      </w:r>
      <w:r w:rsidR="0097516B">
        <w:rPr>
          <w:rFonts w:eastAsiaTheme="minorEastAsia"/>
        </w:rPr>
        <w:t>ection)</w:t>
      </w:r>
      <w:r w:rsidR="006A07F5">
        <w:rPr>
          <w:rFonts w:eastAsiaTheme="minorEastAsia"/>
        </w:rPr>
        <w:t xml:space="preserve"> and therefore only </w:t>
      </w:r>
      <w:r w:rsidR="00812E75">
        <w:rPr>
          <w:rFonts w:eastAsiaTheme="minorEastAsia"/>
        </w:rPr>
        <w:t xml:space="preserve">one FD basis </w:t>
      </w:r>
      <w:r w:rsidR="006A07F5">
        <w:rPr>
          <w:rFonts w:eastAsiaTheme="minorEastAsia"/>
        </w:rPr>
        <w:t xml:space="preserve">selection algorithm would </w:t>
      </w:r>
      <w:r w:rsidR="00812E75">
        <w:rPr>
          <w:rFonts w:eastAsiaTheme="minorEastAsia"/>
        </w:rPr>
        <w:t>be used given a particular UE sub-capability</w:t>
      </w:r>
      <w:r w:rsidR="0097516B">
        <w:rPr>
          <w:rFonts w:eastAsiaTheme="minorEastAsia"/>
        </w:rPr>
        <w:t>. On the other hand, Alt</w:t>
      </w:r>
      <w:r w:rsidR="00412B4B">
        <w:rPr>
          <w:rFonts w:eastAsiaTheme="minorEastAsia"/>
        </w:rPr>
        <w:t xml:space="preserve">3 </w:t>
      </w:r>
      <w:r w:rsidR="00053739">
        <w:rPr>
          <w:rFonts w:eastAsiaTheme="minorEastAsia"/>
        </w:rPr>
        <w:t xml:space="preserve">is reasonable in the sense that </w:t>
      </w:r>
      <w:r w:rsidR="00053739" w:rsidRPr="00384511">
        <w:rPr>
          <w:rFonts w:eastAsiaTheme="minorEastAsia"/>
          <w:i/>
          <w:iCs/>
        </w:rPr>
        <w:t>R=2</w:t>
      </w:r>
      <w:r w:rsidR="00053739">
        <w:rPr>
          <w:rFonts w:eastAsiaTheme="minorEastAsia"/>
        </w:rPr>
        <w:t xml:space="preserve"> is regarded as a channel resolution enhancement feature </w:t>
      </w:r>
      <w:r w:rsidR="009267A8">
        <w:rPr>
          <w:rFonts w:eastAsiaTheme="minorEastAsia"/>
        </w:rPr>
        <w:t xml:space="preserve">since </w:t>
      </w:r>
      <w:r w:rsidR="00053739">
        <w:rPr>
          <w:rFonts w:eastAsiaTheme="minorEastAsia"/>
        </w:rPr>
        <w:t xml:space="preserve">it </w:t>
      </w:r>
      <w:r w:rsidR="009267A8">
        <w:rPr>
          <w:rFonts w:eastAsiaTheme="minorEastAsia"/>
        </w:rPr>
        <w:t>d</w:t>
      </w:r>
      <w:r w:rsidR="00053739">
        <w:rPr>
          <w:rFonts w:eastAsiaTheme="minorEastAsia"/>
        </w:rPr>
        <w:t>oubles the number of PMI subbands</w:t>
      </w:r>
      <w:r w:rsidR="0038381C">
        <w:rPr>
          <w:rFonts w:eastAsiaTheme="minorEastAsia"/>
        </w:rPr>
        <w:t xml:space="preserve"> for a given BW</w:t>
      </w:r>
      <w:r w:rsidR="00053739">
        <w:rPr>
          <w:rFonts w:eastAsiaTheme="minorEastAsia"/>
        </w:rPr>
        <w:t xml:space="preserve"> and</w:t>
      </w:r>
      <w:r w:rsidR="0038381C">
        <w:rPr>
          <w:rFonts w:eastAsiaTheme="minorEastAsia"/>
        </w:rPr>
        <w:t xml:space="preserve"> hence leads to</w:t>
      </w:r>
      <w:r w:rsidR="00053739">
        <w:rPr>
          <w:rFonts w:eastAsiaTheme="minorEastAsia"/>
        </w:rPr>
        <w:t xml:space="preserve"> doubling the number of SVD computations compared with </w:t>
      </w:r>
      <w:r w:rsidR="00053739" w:rsidRPr="00384511">
        <w:rPr>
          <w:rFonts w:eastAsiaTheme="minorEastAsia"/>
          <w:i/>
          <w:iCs/>
        </w:rPr>
        <w:t>R=1</w:t>
      </w:r>
      <w:r w:rsidR="00053739">
        <w:rPr>
          <w:rFonts w:eastAsiaTheme="minorEastAsia"/>
        </w:rPr>
        <w:t xml:space="preserve">. </w:t>
      </w:r>
      <w:r w:rsidR="0097516B">
        <w:rPr>
          <w:rFonts w:eastAsiaTheme="minorEastAsia"/>
        </w:rPr>
        <w:t>Given that, we believe both Alt2 and Alt</w:t>
      </w:r>
      <w:r w:rsidR="00053739">
        <w:rPr>
          <w:rFonts w:eastAsiaTheme="minorEastAsia"/>
        </w:rPr>
        <w:t xml:space="preserve">3 have their own merits and it is hard to claim one alternative is strictly </w:t>
      </w:r>
      <w:r w:rsidR="009267A8">
        <w:rPr>
          <w:rFonts w:eastAsiaTheme="minorEastAsia"/>
        </w:rPr>
        <w:t>superior</w:t>
      </w:r>
      <w:r w:rsidR="0097516B">
        <w:rPr>
          <w:rFonts w:eastAsiaTheme="minorEastAsia"/>
        </w:rPr>
        <w:t>. We slightly prefer Alt</w:t>
      </w:r>
      <w:r w:rsidR="00053739">
        <w:rPr>
          <w:rFonts w:eastAsiaTheme="minorEastAsia"/>
        </w:rPr>
        <w:t xml:space="preserve">3, however, since </w:t>
      </w:r>
      <w:r w:rsidR="00053739" w:rsidRPr="00384511">
        <w:rPr>
          <w:rFonts w:eastAsiaTheme="minorEastAsia"/>
          <w:i/>
          <w:iCs/>
        </w:rPr>
        <w:t>R=2</w:t>
      </w:r>
      <w:r w:rsidR="00053739">
        <w:rPr>
          <w:rFonts w:eastAsiaTheme="minorEastAsia"/>
        </w:rPr>
        <w:t xml:space="preserve"> </w:t>
      </w:r>
      <w:r w:rsidR="0038381C">
        <w:rPr>
          <w:rFonts w:eastAsiaTheme="minorEastAsia"/>
        </w:rPr>
        <w:t xml:space="preserve">is regarded as an </w:t>
      </w:r>
      <w:r w:rsidR="00EC4480">
        <w:rPr>
          <w:rFonts w:eastAsiaTheme="minorEastAsia"/>
        </w:rPr>
        <w:t>advanced</w:t>
      </w:r>
      <w:r w:rsidR="0038381C">
        <w:rPr>
          <w:rFonts w:eastAsiaTheme="minorEastAsia"/>
        </w:rPr>
        <w:t xml:space="preserve"> feature in Rel. 16 Type II codebook and hence it is </w:t>
      </w:r>
      <w:r w:rsidR="009267A8">
        <w:rPr>
          <w:rFonts w:eastAsiaTheme="minorEastAsia"/>
        </w:rPr>
        <w:t xml:space="preserve">a </w:t>
      </w:r>
      <w:r w:rsidR="0038381C">
        <w:rPr>
          <w:rFonts w:eastAsiaTheme="minorEastAsia"/>
        </w:rPr>
        <w:t xml:space="preserve">more </w:t>
      </w:r>
      <w:r w:rsidR="009267A8">
        <w:rPr>
          <w:rFonts w:eastAsiaTheme="minorEastAsia"/>
        </w:rPr>
        <w:t>reasonable</w:t>
      </w:r>
      <w:r w:rsidR="0038381C">
        <w:rPr>
          <w:rFonts w:eastAsiaTheme="minorEastAsia"/>
        </w:rPr>
        <w:t xml:space="preserve"> UE sub-capability</w:t>
      </w:r>
      <w:r w:rsidR="009267A8">
        <w:rPr>
          <w:rFonts w:eastAsiaTheme="minorEastAsia"/>
        </w:rPr>
        <w:t xml:space="preserve"> from a design perspective</w:t>
      </w:r>
      <w:r w:rsidR="0038381C">
        <w:rPr>
          <w:rFonts w:eastAsiaTheme="minorEastAsia"/>
        </w:rPr>
        <w:t>.</w:t>
      </w:r>
    </w:p>
    <w:p w14:paraId="0E0B98D5" w14:textId="5FCD7780" w:rsidR="00EC1576" w:rsidRPr="00A41A8D" w:rsidRDefault="00EC1576" w:rsidP="0038381C">
      <w:pPr>
        <w:spacing w:after="0" w:line="360" w:lineRule="auto"/>
        <w:rPr>
          <w:rFonts w:eastAsiaTheme="minorEastAsia"/>
          <w:sz w:val="12"/>
          <w:szCs w:val="12"/>
        </w:rPr>
      </w:pPr>
    </w:p>
    <w:p w14:paraId="5B803D4F" w14:textId="1D823222" w:rsidR="0038381C" w:rsidRPr="0038381C" w:rsidRDefault="0097516B" w:rsidP="0097516B">
      <w:pPr>
        <w:pStyle w:val="Observation"/>
        <w:spacing w:after="0" w:line="360" w:lineRule="auto"/>
        <w:rPr>
          <w:rFonts w:eastAsiaTheme="minorEastAsia"/>
        </w:rPr>
      </w:pPr>
      <w:r>
        <w:t>Both Alt2 and Alt</w:t>
      </w:r>
      <w:r w:rsidR="0038381C">
        <w:t xml:space="preserve">3 provide reasonable UE sub-capability features. </w:t>
      </w:r>
    </w:p>
    <w:p w14:paraId="6DF2EF0E" w14:textId="56C3D443" w:rsidR="00EC1576" w:rsidRPr="009A692A" w:rsidRDefault="0097516B" w:rsidP="009A692A">
      <w:pPr>
        <w:pStyle w:val="Observation"/>
        <w:spacing w:after="0" w:line="360" w:lineRule="auto"/>
        <w:rPr>
          <w:rFonts w:eastAsiaTheme="minorEastAsia"/>
        </w:rPr>
      </w:pPr>
      <w:r>
        <w:t>Alt</w:t>
      </w:r>
      <w:r w:rsidR="0038381C">
        <w:t xml:space="preserve">3 is slightly preferred since </w:t>
      </w:r>
      <w:r w:rsidR="0038381C" w:rsidRPr="00384511">
        <w:rPr>
          <w:i/>
          <w:iCs/>
        </w:rPr>
        <w:t>R=2</w:t>
      </w:r>
      <w:r w:rsidR="0038381C">
        <w:t xml:space="preserve"> is</w:t>
      </w:r>
      <w:r w:rsidR="00EC4480">
        <w:t xml:space="preserve"> considered an advanced feature for Rel. 16 Type II codebook.</w:t>
      </w:r>
    </w:p>
    <w:p w14:paraId="1BC9D776" w14:textId="53DA7076" w:rsidR="008215BC" w:rsidRDefault="008215BC" w:rsidP="005740FE">
      <w:pPr>
        <w:pStyle w:val="Proposal"/>
        <w:ind w:left="1699" w:hanging="1699"/>
      </w:pPr>
      <w:r>
        <w:t xml:space="preserve">Support </w:t>
      </w:r>
      <w:r w:rsidR="0097516B">
        <w:t>Alt</w:t>
      </w:r>
      <w:r w:rsidR="0010683F">
        <w:t>3</w:t>
      </w:r>
      <w:r w:rsidR="00EC4480">
        <w:t xml:space="preserve"> for UE capability </w:t>
      </w:r>
      <w:r w:rsidR="005740FE">
        <w:t>on</w:t>
      </w:r>
      <w:r w:rsidR="00EC4480">
        <w:t xml:space="preserve"> number of PMI subbands. </w:t>
      </w:r>
      <w:r w:rsidR="0097516B">
        <w:t>Alt</w:t>
      </w:r>
      <w:r w:rsidR="0010683F">
        <w:t>2</w:t>
      </w:r>
      <w:r w:rsidR="00EC4480">
        <w:t xml:space="preserve"> </w:t>
      </w:r>
      <w:r w:rsidR="005740FE">
        <w:t>is</w:t>
      </w:r>
      <w:r w:rsidR="009A692A">
        <w:t xml:space="preserve"> second</w:t>
      </w:r>
      <w:r w:rsidR="00EC4480">
        <w:t xml:space="preserve"> preference</w:t>
      </w:r>
      <w:r w:rsidR="009A692A">
        <w:t>.</w:t>
      </w:r>
    </w:p>
    <w:p w14:paraId="7276C038" w14:textId="30F4A2A8" w:rsidR="000165CF" w:rsidRDefault="000165CF" w:rsidP="00360DB3">
      <w:pPr>
        <w:rPr>
          <w:b/>
          <w:bCs/>
        </w:rPr>
      </w:pPr>
    </w:p>
    <w:p w14:paraId="6D197C44" w14:textId="75062B8E" w:rsidR="000165CF" w:rsidRDefault="000165CF" w:rsidP="000165CF">
      <w:pPr>
        <w:pStyle w:val="Heading2"/>
        <w:rPr>
          <w:lang w:val="en-US"/>
        </w:rPr>
      </w:pPr>
      <w:r>
        <w:rPr>
          <w:lang w:val="en-US"/>
        </w:rPr>
        <w:t>UE Behavior for CBSR</w:t>
      </w:r>
    </w:p>
    <w:p w14:paraId="2D61F72D" w14:textId="618EE58A" w:rsidR="00D26BD9" w:rsidRDefault="00B17033" w:rsidP="00967880">
      <w:r>
        <w:t>In RAN1#98bis</w:t>
      </w:r>
      <w:r w:rsidR="00363D0A">
        <w:t xml:space="preserve"> </w:t>
      </w:r>
      <w:sdt>
        <w:sdtPr>
          <w:id w:val="1249857484"/>
          <w:citation/>
        </w:sdtPr>
        <w:sdtEndPr/>
        <w:sdtContent>
          <w:r w:rsidR="00363D0A">
            <w:fldChar w:fldCharType="begin"/>
          </w:r>
          <w:r w:rsidR="00363D0A">
            <w:instrText xml:space="preserve"> CITATION RAN1_98b \l 1033 </w:instrText>
          </w:r>
          <w:r w:rsidR="00363D0A">
            <w:fldChar w:fldCharType="separate"/>
          </w:r>
          <w:r w:rsidR="00881FF9">
            <w:rPr>
              <w:noProof/>
            </w:rPr>
            <w:t>[1]</w:t>
          </w:r>
          <w:r w:rsidR="00363D0A">
            <w:fldChar w:fldCharType="end"/>
          </w:r>
        </w:sdtContent>
      </w:sdt>
      <w:r>
        <w:t xml:space="preserve">, CBSR was agreed to be supported in Rel, 16 Type II codebook, where </w:t>
      </w:r>
      <w:r w:rsidR="00363D0A">
        <w:t>hard amplitude restriction of beams</w:t>
      </w:r>
      <w:r w:rsidR="0097516B">
        <w:t xml:space="preserve"> (Alt</w:t>
      </w:r>
      <w:r w:rsidR="00AA3A6C">
        <w:t>0)</w:t>
      </w:r>
      <w:r>
        <w:t xml:space="preserve"> </w:t>
      </w:r>
      <w:r w:rsidR="00363D0A">
        <w:t>is mandatory, i.e., restricted beam amplitude values are limited to {0, 1}, whereas soft amplitude restriction</w:t>
      </w:r>
      <w:r w:rsidR="0097516B">
        <w:t xml:space="preserve"> (Alt</w:t>
      </w:r>
      <w:r w:rsidR="00AA3A6C">
        <w:t>3A)</w:t>
      </w:r>
      <w:r w:rsidR="00363D0A">
        <w:t xml:space="preserve"> is optional, i.e., restricted amplitude values take on values {0, 1/2, 1/</w:t>
      </w:r>
      <m:oMath>
        <m:rad>
          <m:radPr>
            <m:degHide m:val="1"/>
            <m:ctrlPr>
              <w:rPr>
                <w:rFonts w:ascii="Cambria Math" w:hAnsi="Cambria Math"/>
                <w:i/>
                <w:lang w:val="en-GB"/>
              </w:rPr>
            </m:ctrlPr>
          </m:radPr>
          <m:deg/>
          <m:e>
            <m:r>
              <w:rPr>
                <w:rFonts w:ascii="Cambria Math" w:hAnsi="Cambria Math"/>
              </w:rPr>
              <m:t>2</m:t>
            </m:r>
          </m:e>
        </m:rad>
      </m:oMath>
      <w:r w:rsidR="00363D0A">
        <w:t xml:space="preserve"> ,1}. A similar </w:t>
      </w:r>
      <w:r w:rsidR="00363D0A" w:rsidRPr="00AA3A6C">
        <w:t>behavior</w:t>
      </w:r>
      <w:r w:rsidR="00363D0A">
        <w:t xml:space="preserve"> was </w:t>
      </w:r>
      <w:r w:rsidR="009267A8">
        <w:t>imposed in</w:t>
      </w:r>
      <w:r w:rsidR="00AA3A6C">
        <w:t xml:space="preserve"> </w:t>
      </w:r>
      <w:r w:rsidR="00363D0A">
        <w:t xml:space="preserve">Rel. 15 Type II </w:t>
      </w:r>
      <w:r w:rsidR="00AA3A6C">
        <w:t xml:space="preserve">CBSR using </w:t>
      </w:r>
      <w:r w:rsidR="009267A8">
        <w:t>the</w:t>
      </w:r>
      <w:r w:rsidR="00AA3A6C">
        <w:t xml:space="preserve"> parameter </w:t>
      </w:r>
      <w:r w:rsidR="00AA3A6C" w:rsidRPr="00AA3A6C">
        <w:rPr>
          <w:i/>
          <w:iCs/>
        </w:rPr>
        <w:t>amplitudeSubsetRestriction</w:t>
      </w:r>
      <w:r w:rsidR="00AA3A6C">
        <w:t xml:space="preserve">, however, the UE behavior </w:t>
      </w:r>
      <w:r w:rsidR="00D26BD9">
        <w:t>was n</w:t>
      </w:r>
      <w:r w:rsidR="009267A8">
        <w:t>o</w:t>
      </w:r>
      <w:r w:rsidR="00D26BD9">
        <w:t>t clarified w</w:t>
      </w:r>
      <w:r w:rsidR="00AA3A6C">
        <w:t>hen this parameter is</w:t>
      </w:r>
      <w:r w:rsidR="00AD0046">
        <w:t xml:space="preserve"> not</w:t>
      </w:r>
      <w:r w:rsidR="009267A8">
        <w:t xml:space="preserve"> set to</w:t>
      </w:r>
      <w:r w:rsidR="00AD0046">
        <w:t xml:space="preserve"> </w:t>
      </w:r>
      <w:r w:rsidR="00AD0046" w:rsidRPr="00C5090F">
        <w:rPr>
          <w:i/>
          <w:iCs/>
        </w:rPr>
        <w:t>supported</w:t>
      </w:r>
      <w:r w:rsidR="00AA3A6C">
        <w:t xml:space="preserve">. </w:t>
      </w:r>
      <w:r w:rsidR="00D26BD9">
        <w:t>Although this is a Rel. 15 Type II codebook issue, we believe it is tightly related to that of Rel. 16 Type II codebook due to the resemblance between some CBSR procedures in both Rel. 15 and Rel. 16, and it would be helpful i</w:t>
      </w:r>
      <w:r w:rsidR="009267A8">
        <w:t>f</w:t>
      </w:r>
      <w:r w:rsidR="00D26BD9">
        <w:t xml:space="preserve"> the spec</w:t>
      </w:r>
      <w:r w:rsidR="009267A8">
        <w:t>ification</w:t>
      </w:r>
      <w:r w:rsidR="00D26BD9">
        <w:t xml:space="preserve"> is consistent in that regard.  Given that, we </w:t>
      </w:r>
      <w:r w:rsidR="009267A8">
        <w:t>agree that</w:t>
      </w:r>
      <w:r w:rsidR="00D26BD9">
        <w:t xml:space="preserve"> CR proposals </w:t>
      </w:r>
      <w:r w:rsidR="009267A8">
        <w:t xml:space="preserve">should be submitted </w:t>
      </w:r>
      <w:r w:rsidR="00D26BD9">
        <w:t>for NR Rel. 15 MIMO maintenance</w:t>
      </w:r>
      <w:r w:rsidR="009906B1">
        <w:t xml:space="preserve"> AI</w:t>
      </w:r>
      <w:r w:rsidR="00D26BD9">
        <w:t xml:space="preserve"> to clarify the UE behavior when </w:t>
      </w:r>
      <w:r w:rsidR="00D26BD9" w:rsidRPr="00AA3A6C">
        <w:rPr>
          <w:i/>
          <w:iCs/>
        </w:rPr>
        <w:t>amplitudeSubsetRestriction</w:t>
      </w:r>
      <w:r w:rsidR="00D26BD9">
        <w:t xml:space="preserve"> is </w:t>
      </w:r>
      <w:r w:rsidR="00AD0046">
        <w:t xml:space="preserve">not set to </w:t>
      </w:r>
      <w:r w:rsidR="00AD0046" w:rsidRPr="00AD0046">
        <w:rPr>
          <w:i/>
          <w:iCs/>
        </w:rPr>
        <w:t>supported</w:t>
      </w:r>
      <w:r w:rsidR="00D26BD9">
        <w:t xml:space="preserve">. The same UE behavior can then be carried on </w:t>
      </w:r>
      <w:r w:rsidR="000E149B">
        <w:t>to</w:t>
      </w:r>
      <w:r w:rsidR="00D26BD9">
        <w:t xml:space="preserve"> Rel. 16 </w:t>
      </w:r>
      <w:r w:rsidR="009906B1">
        <w:t xml:space="preserve">CBSR and similarly incorporated in </w:t>
      </w:r>
      <w:r w:rsidR="006A07F5">
        <w:t xml:space="preserve">the </w:t>
      </w:r>
      <w:r w:rsidR="009906B1">
        <w:t>Rel. 16 Type II codebook specification.</w:t>
      </w:r>
    </w:p>
    <w:p w14:paraId="206AE420" w14:textId="77777777" w:rsidR="00D26BD9" w:rsidRPr="00A41A8D" w:rsidRDefault="00D26BD9" w:rsidP="00D26BD9">
      <w:pPr>
        <w:rPr>
          <w:sz w:val="2"/>
          <w:szCs w:val="2"/>
        </w:rPr>
      </w:pPr>
    </w:p>
    <w:p w14:paraId="3649B8C7" w14:textId="26FCD98C" w:rsidR="00D26BD9" w:rsidRPr="009906B1" w:rsidRDefault="00D26BD9" w:rsidP="00AD0046">
      <w:pPr>
        <w:pStyle w:val="Observation"/>
        <w:spacing w:after="0" w:line="360" w:lineRule="auto"/>
        <w:rPr>
          <w:rFonts w:eastAsiaTheme="minorEastAsia"/>
        </w:rPr>
      </w:pPr>
      <w:r>
        <w:t>In Rel. 15, the UE behavior</w:t>
      </w:r>
      <w:r w:rsidR="00AD0046">
        <w:t xml:space="preserve"> is not explicitly clarified</w:t>
      </w:r>
      <w:r>
        <w:t xml:space="preserve"> when the </w:t>
      </w:r>
      <w:r w:rsidRPr="00AA3A6C">
        <w:rPr>
          <w:i/>
          <w:iCs/>
        </w:rPr>
        <w:t>amplitudeSubsetRestriction</w:t>
      </w:r>
      <w:r>
        <w:t xml:space="preserve"> parameter is </w:t>
      </w:r>
      <w:r w:rsidR="00AD0046">
        <w:t xml:space="preserve">not </w:t>
      </w:r>
      <w:r>
        <w:t xml:space="preserve">set to </w:t>
      </w:r>
      <w:r w:rsidR="00AD0046">
        <w:rPr>
          <w:i/>
          <w:iCs/>
        </w:rPr>
        <w:t>supported</w:t>
      </w:r>
      <w:r w:rsidR="009906B1">
        <w:t>.</w:t>
      </w:r>
    </w:p>
    <w:p w14:paraId="42029F8D" w14:textId="2B1B6FE9" w:rsidR="009906B1" w:rsidRPr="009906B1" w:rsidRDefault="00967880" w:rsidP="00812E75">
      <w:pPr>
        <w:pStyle w:val="Observation"/>
        <w:spacing w:after="0" w:line="360" w:lineRule="auto"/>
        <w:rPr>
          <w:rFonts w:eastAsiaTheme="minorEastAsia"/>
        </w:rPr>
      </w:pPr>
      <w:r>
        <w:t xml:space="preserve">Clarifying the behavior of </w:t>
      </w:r>
      <w:r w:rsidR="006A07F5">
        <w:t xml:space="preserve">the </w:t>
      </w:r>
      <w:r w:rsidRPr="00AA3A6C">
        <w:rPr>
          <w:i/>
          <w:iCs/>
        </w:rPr>
        <w:t>amplitudeSubsetRestriction</w:t>
      </w:r>
      <w:r>
        <w:t xml:space="preserve"> parameter </w:t>
      </w:r>
      <w:r w:rsidRPr="009906B1">
        <w:t>in Rel. 15</w:t>
      </w:r>
      <w:r>
        <w:t xml:space="preserve"> when not set to </w:t>
      </w:r>
      <w:r>
        <w:rPr>
          <w:i/>
          <w:iCs/>
        </w:rPr>
        <w:t xml:space="preserve">supported </w:t>
      </w:r>
      <w:r>
        <w:t xml:space="preserve">would help </w:t>
      </w:r>
      <w:r w:rsidR="008603C5">
        <w:t>mak</w:t>
      </w:r>
      <w:r w:rsidR="00AD57E1">
        <w:t>e</w:t>
      </w:r>
      <w:r w:rsidR="008603C5">
        <w:t xml:space="preserve"> the Rel. 15 and </w:t>
      </w:r>
      <w:r>
        <w:t>Rel. 16 specification</w:t>
      </w:r>
      <w:r w:rsidR="008603C5">
        <w:t>s consistent</w:t>
      </w:r>
      <w:r>
        <w:t>, since the same UE behavior would be applied</w:t>
      </w:r>
      <w:r w:rsidR="009906B1">
        <w:t>.</w:t>
      </w:r>
    </w:p>
    <w:p w14:paraId="5EE895F7" w14:textId="1FEED6B4" w:rsidR="009906B1" w:rsidRDefault="009906B1" w:rsidP="00AD0046">
      <w:pPr>
        <w:pStyle w:val="Proposal"/>
        <w:ind w:left="1699" w:hanging="1699"/>
      </w:pPr>
      <w:r>
        <w:t xml:space="preserve">Draft CR proposals should be submitted to Rel. 15 MIMO maintenance AI to clarify the UE behavior when the parameter </w:t>
      </w:r>
      <w:r w:rsidRPr="00AA3A6C">
        <w:rPr>
          <w:i/>
          <w:iCs/>
        </w:rPr>
        <w:t>amplitudeSubsetRestriction</w:t>
      </w:r>
      <w:r>
        <w:t xml:space="preserve"> is </w:t>
      </w:r>
      <w:r w:rsidR="00AD0046">
        <w:t xml:space="preserve">not </w:t>
      </w:r>
      <w:r>
        <w:t xml:space="preserve">set to </w:t>
      </w:r>
      <w:r w:rsidR="00AD0046">
        <w:rPr>
          <w:i/>
          <w:iCs/>
        </w:rPr>
        <w:t>supported</w:t>
      </w:r>
      <w:r>
        <w:rPr>
          <w:i/>
          <w:iCs/>
        </w:rPr>
        <w:t>.</w:t>
      </w:r>
      <w:r>
        <w:t xml:space="preserve"> </w:t>
      </w:r>
    </w:p>
    <w:p w14:paraId="174CE3EB" w14:textId="453413CD" w:rsidR="009906B1" w:rsidRDefault="009906B1" w:rsidP="00967880">
      <w:pPr>
        <w:pStyle w:val="Proposal"/>
        <w:ind w:left="1699" w:hanging="1699"/>
      </w:pPr>
      <w:r>
        <w:t xml:space="preserve">The same </w:t>
      </w:r>
      <w:r w:rsidR="000E149B">
        <w:t xml:space="preserve">functionality of the parameter </w:t>
      </w:r>
      <w:r w:rsidR="000E149B" w:rsidRPr="00AA3A6C">
        <w:rPr>
          <w:i/>
          <w:iCs/>
        </w:rPr>
        <w:t>amplitudeSubsetRestriction</w:t>
      </w:r>
      <w:r w:rsidR="000E149B" w:rsidDel="000E149B">
        <w:t xml:space="preserve"> </w:t>
      </w:r>
      <w:r>
        <w:t>of Rel. 15 CBSR should carry on to Rel. 16 CBSR.</w:t>
      </w:r>
    </w:p>
    <w:p w14:paraId="353D3A76" w14:textId="04E43645" w:rsidR="009906B1" w:rsidRPr="009A692A" w:rsidRDefault="009906B1" w:rsidP="009906B1">
      <w:pPr>
        <w:pStyle w:val="Observation"/>
        <w:numPr>
          <w:ilvl w:val="0"/>
          <w:numId w:val="0"/>
        </w:numPr>
        <w:spacing w:after="0" w:line="360" w:lineRule="auto"/>
        <w:rPr>
          <w:rFonts w:eastAsiaTheme="minorEastAsia"/>
        </w:rPr>
      </w:pPr>
    </w:p>
    <w:p w14:paraId="433D4E4A" w14:textId="0761680B" w:rsidR="000165CF" w:rsidRDefault="000165CF" w:rsidP="000165CF">
      <w:pPr>
        <w:pStyle w:val="Heading2"/>
        <w:rPr>
          <w:lang w:val="en-US"/>
        </w:rPr>
      </w:pPr>
      <w:r>
        <w:rPr>
          <w:lang w:val="en-US"/>
        </w:rPr>
        <w:t>UE Capability for Concurrent Codebooks</w:t>
      </w:r>
    </w:p>
    <w:p w14:paraId="21F6892C" w14:textId="56A0F5FD" w:rsidR="00894FF7" w:rsidRDefault="00881FF9" w:rsidP="00967880">
      <w:r w:rsidRPr="00881FF9">
        <w:t>In</w:t>
      </w:r>
      <w:r>
        <w:t xml:space="preserve"> NR Rel. 15, </w:t>
      </w:r>
      <w:r w:rsidRPr="00881FF9">
        <w:t>UE capability signaling</w:t>
      </w:r>
      <w:r>
        <w:t xml:space="preserve"> </w:t>
      </w:r>
      <w:r w:rsidRPr="00881FF9">
        <w:t>represents the CSI capability for each codebook type</w:t>
      </w:r>
      <w:r>
        <w:t xml:space="preserve">, wherein the signaling indicates the maximum number of ports/resource, the maximum number of resources as well as the maximum number of total ports. One drawback is that the UE capability is signaled separately for each codebook type (Type I + Type II Rel. 15 codebooks), and hence </w:t>
      </w:r>
      <w:r w:rsidR="000E149B">
        <w:t>the</w:t>
      </w:r>
      <w:r>
        <w:t xml:space="preserve"> worst case scenario where both codebook types </w:t>
      </w:r>
      <w:r w:rsidR="00CB1634">
        <w:t xml:space="preserve">are being processed simultaneously must be considered, causing the UE to potentially underreport its capability. This drawback can become much worse after introducing Rel. 16 Type II codebook, since </w:t>
      </w:r>
      <w:r w:rsidR="0030544D">
        <w:t xml:space="preserve">the UE would further </w:t>
      </w:r>
      <w:r w:rsidR="00CB1634">
        <w:t>underreport</w:t>
      </w:r>
      <w:r w:rsidR="0030544D">
        <w:t xml:space="preserve"> its cap</w:t>
      </w:r>
      <w:r w:rsidR="00CB1634">
        <w:t>ability</w:t>
      </w:r>
      <w:r w:rsidR="0030544D">
        <w:t xml:space="preserve"> if the s</w:t>
      </w:r>
      <w:r w:rsidR="000E149B">
        <w:t xml:space="preserve">imilar </w:t>
      </w:r>
      <w:r w:rsidR="000E149B">
        <w:lastRenderedPageBreak/>
        <w:t>approach is adopted</w:t>
      </w:r>
      <w:r w:rsidR="0030544D">
        <w:t>. Although it may not be clear how frequent</w:t>
      </w:r>
      <w:r w:rsidR="008603C5">
        <w:t>ly</w:t>
      </w:r>
      <w:r w:rsidR="0030544D">
        <w:t xml:space="preserve"> the network would </w:t>
      </w:r>
      <w:r w:rsidR="008603C5">
        <w:t xml:space="preserve">trigger </w:t>
      </w:r>
      <w:r w:rsidR="0030544D">
        <w:t xml:space="preserve">multiple codebook types to the same UE simultaneously, the NR specification should not fully preclude this </w:t>
      </w:r>
      <w:r w:rsidR="00894FF7">
        <w:t>scenario, unless there is consensus from all companies that such use case is unrealistic.</w:t>
      </w:r>
    </w:p>
    <w:p w14:paraId="44BE07FE" w14:textId="77777777" w:rsidR="00894FF7" w:rsidRPr="00A41A8D" w:rsidRDefault="00894FF7" w:rsidP="00894FF7">
      <w:pPr>
        <w:rPr>
          <w:sz w:val="2"/>
          <w:szCs w:val="2"/>
        </w:rPr>
      </w:pPr>
    </w:p>
    <w:p w14:paraId="5BCB885D" w14:textId="7809DB86" w:rsidR="00894FF7" w:rsidRPr="009906B1" w:rsidRDefault="000E4E9E" w:rsidP="00ED68F4">
      <w:pPr>
        <w:pStyle w:val="Observation"/>
        <w:spacing w:after="0" w:line="360" w:lineRule="auto"/>
        <w:rPr>
          <w:rFonts w:eastAsiaTheme="minorEastAsia"/>
        </w:rPr>
      </w:pPr>
      <w:r>
        <w:t xml:space="preserve">Triggering </w:t>
      </w:r>
      <w:r w:rsidR="00ED68F4">
        <w:t>multiple codebook types simultaneously should not be fully precluded</w:t>
      </w:r>
      <w:r w:rsidR="00894FF7">
        <w:t>.</w:t>
      </w:r>
    </w:p>
    <w:p w14:paraId="56ABB551" w14:textId="77777777" w:rsidR="00ED68F4" w:rsidRDefault="00ED68F4" w:rsidP="00894FF7"/>
    <w:p w14:paraId="35402BAE" w14:textId="3D063458" w:rsidR="00ED68F4" w:rsidRDefault="00ED68F4" w:rsidP="00967880">
      <w:r>
        <w:t xml:space="preserve">Nevertheless, since both Rel. 15 and Rel. 16 Type II codebooks are high-resolution codebooks </w:t>
      </w:r>
      <w:r w:rsidR="000E149B">
        <w:t>which</w:t>
      </w:r>
      <w:r>
        <w:t xml:space="preserve"> share many similar features, it may not be reasonable to configure both codebook types simultaneously. Only codebook combinations of Type I Rel. 15 and either Type II Rel. 15/16 codebooks should be supported. </w:t>
      </w:r>
    </w:p>
    <w:p w14:paraId="70DCFDF8" w14:textId="77777777" w:rsidR="00ED68F4" w:rsidRPr="00A41A8D" w:rsidRDefault="00ED68F4" w:rsidP="00ED68F4">
      <w:pPr>
        <w:rPr>
          <w:sz w:val="2"/>
          <w:szCs w:val="2"/>
        </w:rPr>
      </w:pPr>
    </w:p>
    <w:p w14:paraId="7F830F1D" w14:textId="2D37A41C" w:rsidR="007352E9" w:rsidRPr="00C84E23" w:rsidRDefault="00B96AD2" w:rsidP="00967880">
      <w:pPr>
        <w:pStyle w:val="Observation"/>
        <w:spacing w:after="0" w:line="360" w:lineRule="auto"/>
        <w:rPr>
          <w:rFonts w:eastAsiaTheme="minorEastAsia"/>
        </w:rPr>
      </w:pPr>
      <w:r>
        <w:t xml:space="preserve">Triggering </w:t>
      </w:r>
      <w:r w:rsidR="00ED68F4">
        <w:t xml:space="preserve">Type II Rel. 15 and Type II Rel. 16 codebooks simultaneously may be unnecessary since </w:t>
      </w:r>
      <w:r w:rsidR="007352E9">
        <w:t>both codebook</w:t>
      </w:r>
      <w:r w:rsidR="00384511">
        <w:t xml:space="preserve"> type</w:t>
      </w:r>
      <w:r w:rsidR="007352E9">
        <w:t xml:space="preserve">s </w:t>
      </w:r>
      <w:r w:rsidR="000E149B">
        <w:t xml:space="preserve">have </w:t>
      </w:r>
      <w:r w:rsidR="007352E9">
        <w:t>many similar features</w:t>
      </w:r>
      <w:r w:rsidR="00ED68F4">
        <w:t>.</w:t>
      </w:r>
    </w:p>
    <w:p w14:paraId="6DF373B9" w14:textId="29D335FE" w:rsidR="007352E9" w:rsidRDefault="007352E9" w:rsidP="007352E9">
      <w:pPr>
        <w:pStyle w:val="Proposal"/>
        <w:ind w:left="1699" w:hanging="1699"/>
      </w:pPr>
      <w:r>
        <w:t>Only Rel. 15 Type I + Rel. 15 Type II OR Rel. 15 Type I + Rel. 16 Type II codebook combinations should be considered for UE capability signaling</w:t>
      </w:r>
      <w:r>
        <w:rPr>
          <w:i/>
          <w:iCs/>
        </w:rPr>
        <w:t>.</w:t>
      </w:r>
      <w:r>
        <w:t xml:space="preserve"> </w:t>
      </w:r>
    </w:p>
    <w:p w14:paraId="686098F2" w14:textId="07427A3C" w:rsidR="0030544D" w:rsidRDefault="0030544D" w:rsidP="00ED68F4"/>
    <w:p w14:paraId="3EF71390" w14:textId="69C09106" w:rsidR="000165CF" w:rsidRDefault="007352E9" w:rsidP="00A41A8D">
      <w:r>
        <w:t xml:space="preserve">Following RAN1#98bis, an offline discussion was held to discuss the different alternatives for UE capability related to concurrent codebooks, with the alternatives being </w:t>
      </w:r>
      <w:r w:rsidR="000E149B">
        <w:t>Alt</w:t>
      </w:r>
      <w:r>
        <w:t xml:space="preserve">1) Reporting concurrent codebook capabilities, </w:t>
      </w:r>
      <w:r w:rsidR="000E149B">
        <w:t>Alt</w:t>
      </w:r>
      <w:r>
        <w:t xml:space="preserve">2) </w:t>
      </w:r>
      <w:r w:rsidRPr="007352E9">
        <w:t>The capability of concurrent codebooks should be within the capability of each codebook</w:t>
      </w:r>
      <w:r>
        <w:t xml:space="preserve"> and </w:t>
      </w:r>
      <w:r w:rsidR="000E149B">
        <w:t>Alt</w:t>
      </w:r>
      <w:r>
        <w:t xml:space="preserve">3) Introducing a complementary UE capability to indicate additional codebook combinations supported by the UE. </w:t>
      </w:r>
      <w:r w:rsidR="0097516B">
        <w:t>In our opinion, Alt</w:t>
      </w:r>
      <w:r>
        <w:t>1 is too gene</w:t>
      </w:r>
      <w:r w:rsidR="002E5C61">
        <w:t xml:space="preserve">ral, and reporting a UE capability that handles arbitrary codebook combinations may </w:t>
      </w:r>
      <w:r w:rsidR="000E149B">
        <w:t>cause</w:t>
      </w:r>
      <w:r w:rsidR="002E5C61">
        <w:t xml:space="preserve"> </w:t>
      </w:r>
      <w:r w:rsidR="000E149B">
        <w:t>complications</w:t>
      </w:r>
      <w:r w:rsidR="002E5C61">
        <w:t xml:space="preserve">. Alt2 may still lead to underreporting the UE capability and hence does not provide a </w:t>
      </w:r>
      <w:r w:rsidR="000E149B">
        <w:t>much improved solution compared with that of Rel. 15</w:t>
      </w:r>
      <w:r w:rsidR="002E5C61">
        <w:t xml:space="preserve">. </w:t>
      </w:r>
      <w:r w:rsidR="0097516B">
        <w:t>Alt</w:t>
      </w:r>
      <w:r w:rsidR="002E5C61">
        <w:t xml:space="preserve">3 </w:t>
      </w:r>
      <w:r w:rsidR="0097516B">
        <w:t>provides a reasonable means of UE capability reporting for concurrent codebooks</w:t>
      </w:r>
      <w:r w:rsidR="003C6BBB">
        <w:t xml:space="preserve"> since it offers some flexibility for different codebook combinations while only limiting the scenarios to predefined combinations. For example, four codebook combinations can be considered with two combinations reflecting the cases where only one of the codebook types is configured, whereas the other two combinations reflect different allocations when both codeword types are concurrently configured. </w:t>
      </w:r>
    </w:p>
    <w:p w14:paraId="1B889183" w14:textId="77777777" w:rsidR="00A41A8D" w:rsidRPr="00A41A8D" w:rsidRDefault="00A41A8D" w:rsidP="00A41A8D">
      <w:pPr>
        <w:rPr>
          <w:sz w:val="2"/>
          <w:szCs w:val="2"/>
        </w:rPr>
      </w:pPr>
    </w:p>
    <w:p w14:paraId="4C17A688" w14:textId="6C8BDBF8" w:rsidR="0097516B" w:rsidRDefault="0097516B" w:rsidP="00412FBD">
      <w:pPr>
        <w:pStyle w:val="Observation"/>
        <w:spacing w:after="0" w:line="360" w:lineRule="auto"/>
      </w:pPr>
      <w:r>
        <w:t>Alt3 provides a reasonable means of UE capability reporting for concurrent codebooks.</w:t>
      </w:r>
    </w:p>
    <w:p w14:paraId="2B00D028" w14:textId="297E5671" w:rsidR="003C6BBB" w:rsidRDefault="0097516B" w:rsidP="003C6BBB">
      <w:pPr>
        <w:pStyle w:val="Proposal"/>
        <w:ind w:left="1699" w:hanging="1699"/>
      </w:pPr>
      <w:r>
        <w:t>Support Alt</w:t>
      </w:r>
      <w:r w:rsidR="003C6BBB">
        <w:t>3 for UE capability related to supporting concurrent codebooks</w:t>
      </w:r>
      <w:r w:rsidR="003C6BBB">
        <w:rPr>
          <w:i/>
          <w:iCs/>
        </w:rPr>
        <w:t>.</w:t>
      </w:r>
      <w:r w:rsidR="003C6BBB">
        <w:t xml:space="preserve"> </w:t>
      </w:r>
    </w:p>
    <w:p w14:paraId="3CD758DA" w14:textId="77777777" w:rsidR="00C84E23" w:rsidRDefault="00C84E23" w:rsidP="00360DB3"/>
    <w:p w14:paraId="5C75F392" w14:textId="153EF3ED" w:rsidR="000165CF" w:rsidRDefault="000165CF" w:rsidP="000165CF">
      <w:pPr>
        <w:pStyle w:val="Heading2"/>
        <w:rPr>
          <w:lang w:val="en-US"/>
        </w:rPr>
      </w:pPr>
      <w:r>
        <w:rPr>
          <w:lang w:val="en-US"/>
        </w:rPr>
        <w:t>UE Capability for RI&gt;2</w:t>
      </w:r>
    </w:p>
    <w:p w14:paraId="2B20876B" w14:textId="6CB6FD37" w:rsidR="000165CF" w:rsidRDefault="000165CF" w:rsidP="00967880">
      <w:pPr>
        <w:rPr>
          <w:rFonts w:eastAsiaTheme="minorEastAsia"/>
        </w:rPr>
      </w:pPr>
      <w:r>
        <w:rPr>
          <w:rFonts w:eastAsiaTheme="minorEastAsia"/>
        </w:rPr>
        <w:t xml:space="preserve">In RAN1#98bis </w:t>
      </w:r>
      <w:sdt>
        <w:sdtPr>
          <w:rPr>
            <w:rFonts w:eastAsiaTheme="minorEastAsia"/>
          </w:rPr>
          <w:id w:val="1377050425"/>
          <w:citation/>
        </w:sdtPr>
        <w:sdtEndPr/>
        <w:sdtContent>
          <w:r>
            <w:rPr>
              <w:rFonts w:eastAsiaTheme="minorEastAsia"/>
            </w:rPr>
            <w:fldChar w:fldCharType="begin"/>
          </w:r>
          <w:r>
            <w:rPr>
              <w:rFonts w:eastAsiaTheme="minorEastAsia"/>
            </w:rPr>
            <w:instrText xml:space="preserve"> CITATION RAN1_98b \l 1033 </w:instrText>
          </w:r>
          <w:r>
            <w:rPr>
              <w:rFonts w:eastAsiaTheme="minorEastAsia"/>
            </w:rPr>
            <w:fldChar w:fldCharType="separate"/>
          </w:r>
          <w:r w:rsidR="00881FF9" w:rsidRPr="00881FF9">
            <w:rPr>
              <w:rFonts w:eastAsiaTheme="minorEastAsia"/>
              <w:noProof/>
            </w:rPr>
            <w:t>[1]</w:t>
          </w:r>
          <w:r>
            <w:rPr>
              <w:rFonts w:eastAsiaTheme="minorEastAsia"/>
            </w:rPr>
            <w:fldChar w:fldCharType="end"/>
          </w:r>
        </w:sdtContent>
      </w:sdt>
      <w:r>
        <w:rPr>
          <w:rFonts w:eastAsiaTheme="minorEastAsia"/>
        </w:rPr>
        <w:t xml:space="preserve"> it was agreed</w:t>
      </w:r>
      <w:r w:rsidR="003F10F9">
        <w:rPr>
          <w:rFonts w:eastAsiaTheme="minorEastAsia"/>
        </w:rPr>
        <w:t xml:space="preserve"> that parameter values </w:t>
      </w:r>
      <w:r w:rsidR="003F10F9" w:rsidRPr="00384511">
        <w:rPr>
          <w:rFonts w:eastAsiaTheme="minorEastAsia"/>
          <w:i/>
          <w:iCs/>
        </w:rPr>
        <w:t>L=2,4</w:t>
      </w:r>
      <w:r w:rsidR="003F10F9">
        <w:rPr>
          <w:rFonts w:eastAsiaTheme="minorEastAsia"/>
        </w:rPr>
        <w:t xml:space="preserve"> have mandatory support in Rel. 16 Type II codebook, i.e., all UEs supporting Rel. 16 Type II codebook would support </w:t>
      </w:r>
      <w:r w:rsidR="003F10F9" w:rsidRPr="00384511">
        <w:rPr>
          <w:rFonts w:eastAsiaTheme="minorEastAsia"/>
          <w:i/>
          <w:iCs/>
        </w:rPr>
        <w:t>L=2,4</w:t>
      </w:r>
      <w:r w:rsidR="003F10F9">
        <w:rPr>
          <w:rFonts w:eastAsiaTheme="minorEastAsia"/>
        </w:rPr>
        <w:t xml:space="preserve"> by default. The support for maximum rank of 1 and 2 was also agreed to be mandatory. It was left for further study whether supporting maximum rank of 3 and 4 would be mandatory or optional. In our opinion, </w:t>
      </w:r>
      <w:r w:rsidR="00CE611B">
        <w:rPr>
          <w:rFonts w:eastAsiaTheme="minorEastAsia"/>
        </w:rPr>
        <w:t>supporting higher rank for Type II codebook would proportionally increase the complexity of computing the codebook parameters at the UE, since most parameters are layer-dependent</w:t>
      </w:r>
      <w:r w:rsidR="000E149B">
        <w:rPr>
          <w:rFonts w:eastAsiaTheme="minorEastAsia"/>
        </w:rPr>
        <w:t>. Also note that</w:t>
      </w:r>
      <w:r w:rsidR="00CE611B">
        <w:rPr>
          <w:rFonts w:eastAsiaTheme="minorEastAsia"/>
        </w:rPr>
        <w:t xml:space="preserve"> </w:t>
      </w:r>
      <w:r w:rsidR="000E149B">
        <w:rPr>
          <w:rFonts w:eastAsiaTheme="minorEastAsia"/>
        </w:rPr>
        <w:t>a</w:t>
      </w:r>
      <w:r w:rsidR="00CE611B">
        <w:rPr>
          <w:rFonts w:eastAsiaTheme="minorEastAsia"/>
        </w:rPr>
        <w:t xml:space="preserve">lthough </w:t>
      </w:r>
      <w:r w:rsidR="00CE611B" w:rsidRPr="00CE611B">
        <w:rPr>
          <w:rFonts w:eastAsiaTheme="minorEastAsia"/>
          <w:b/>
          <w:bCs/>
          <w:i/>
          <w:iCs/>
        </w:rPr>
        <w:t>W</w:t>
      </w:r>
      <w:r w:rsidR="00CE611B" w:rsidRPr="00CE611B">
        <w:rPr>
          <w:rFonts w:eastAsiaTheme="minorEastAsia"/>
          <w:b/>
          <w:bCs/>
          <w:i/>
          <w:iCs/>
          <w:vertAlign w:val="subscript"/>
        </w:rPr>
        <w:t>1</w:t>
      </w:r>
      <w:r w:rsidR="00CE611B">
        <w:rPr>
          <w:rFonts w:eastAsiaTheme="minorEastAsia"/>
        </w:rPr>
        <w:t xml:space="preserve"> is layer common, </w:t>
      </w:r>
      <w:r w:rsidR="005E0752">
        <w:rPr>
          <w:rFonts w:eastAsiaTheme="minorEastAsia"/>
        </w:rPr>
        <w:t xml:space="preserve">some UE implementations may require </w:t>
      </w:r>
      <w:r w:rsidR="00CE611B">
        <w:rPr>
          <w:rFonts w:eastAsiaTheme="minorEastAsia"/>
        </w:rPr>
        <w:t xml:space="preserve">a separate </w:t>
      </w:r>
      <w:r w:rsidR="005E0752">
        <w:rPr>
          <w:rFonts w:eastAsiaTheme="minorEastAsia"/>
        </w:rPr>
        <w:t>SVD process per layer for inter-layer interference mitigation purposes</w:t>
      </w:r>
      <w:r w:rsidR="00CE611B">
        <w:rPr>
          <w:rFonts w:eastAsiaTheme="minorEastAsia"/>
        </w:rPr>
        <w:t>. Given that</w:t>
      </w:r>
      <w:r w:rsidR="00967880">
        <w:rPr>
          <w:rFonts w:eastAsiaTheme="minorEastAsia"/>
        </w:rPr>
        <w:t xml:space="preserve">, </w:t>
      </w:r>
      <w:r w:rsidR="00051CC0">
        <w:rPr>
          <w:rFonts w:eastAsiaTheme="minorEastAsia"/>
        </w:rPr>
        <w:t xml:space="preserve">it is reasonable to support </w:t>
      </w:r>
      <w:r w:rsidR="00967880" w:rsidRPr="00384511">
        <w:rPr>
          <w:rFonts w:eastAsiaTheme="minorEastAsia"/>
          <w:i/>
          <w:iCs/>
        </w:rPr>
        <w:t>RI</w:t>
      </w:r>
      <w:r w:rsidR="00967880">
        <w:rPr>
          <w:rFonts w:eastAsiaTheme="minorEastAsia"/>
          <w:i/>
          <w:iCs/>
        </w:rPr>
        <w:t xml:space="preserve"> </w:t>
      </w:r>
      <w:r w:rsidR="00967880" w:rsidRPr="00384511">
        <w:rPr>
          <w:rFonts w:eastAsiaTheme="minorEastAsia"/>
          <w:i/>
          <w:iCs/>
        </w:rPr>
        <w:t>&gt;2</w:t>
      </w:r>
      <w:r w:rsidR="00967880">
        <w:rPr>
          <w:rFonts w:eastAsiaTheme="minorEastAsia"/>
        </w:rPr>
        <w:t xml:space="preserve"> </w:t>
      </w:r>
      <w:r w:rsidR="00051CC0">
        <w:rPr>
          <w:rFonts w:eastAsiaTheme="minorEastAsia"/>
        </w:rPr>
        <w:t>as an additional UE sub-capability.</w:t>
      </w:r>
    </w:p>
    <w:p w14:paraId="37CF5C5B" w14:textId="13CD9837" w:rsidR="0097516B" w:rsidRPr="00A41A8D" w:rsidRDefault="0097516B" w:rsidP="005E0752">
      <w:pPr>
        <w:rPr>
          <w:rFonts w:eastAsiaTheme="minorEastAsia"/>
          <w:sz w:val="2"/>
          <w:szCs w:val="2"/>
        </w:rPr>
      </w:pPr>
    </w:p>
    <w:p w14:paraId="57C9205C" w14:textId="1FADC8C4" w:rsidR="0097516B" w:rsidRDefault="0097516B" w:rsidP="00C76AAC">
      <w:pPr>
        <w:pStyle w:val="Observation"/>
        <w:spacing w:after="0" w:line="360" w:lineRule="auto"/>
      </w:pPr>
      <w:r>
        <w:t xml:space="preserve">Supporting </w:t>
      </w:r>
      <w:r w:rsidRPr="00C84E23">
        <w:rPr>
          <w:i/>
          <w:iCs/>
        </w:rPr>
        <w:t>RI</w:t>
      </w:r>
      <w:r w:rsidR="00384511" w:rsidRPr="00C84E23">
        <w:rPr>
          <w:i/>
          <w:iCs/>
        </w:rPr>
        <w:t xml:space="preserve"> </w:t>
      </w:r>
      <w:r w:rsidRPr="00C84E23">
        <w:rPr>
          <w:i/>
          <w:iCs/>
        </w:rPr>
        <w:t>&gt;2</w:t>
      </w:r>
      <w:r>
        <w:t xml:space="preserve"> may significantly increase the complexity of computing the codebook parameters at the UE.</w:t>
      </w:r>
    </w:p>
    <w:p w14:paraId="4FED0637" w14:textId="77777777" w:rsidR="00A41A8D" w:rsidRPr="00A41A8D" w:rsidRDefault="0097516B" w:rsidP="00A41A8D">
      <w:pPr>
        <w:pStyle w:val="Proposal"/>
        <w:ind w:left="1699" w:hanging="1699"/>
      </w:pPr>
      <w:r>
        <w:t xml:space="preserve">Support </w:t>
      </w:r>
      <w:r w:rsidRPr="00384511">
        <w:rPr>
          <w:i/>
          <w:iCs/>
        </w:rPr>
        <w:t>RI</w:t>
      </w:r>
      <w:r w:rsidR="00384511">
        <w:rPr>
          <w:i/>
          <w:iCs/>
        </w:rPr>
        <w:t xml:space="preserve"> </w:t>
      </w:r>
      <w:r w:rsidRPr="00384511">
        <w:rPr>
          <w:i/>
          <w:iCs/>
        </w:rPr>
        <w:t>&gt;2</w:t>
      </w:r>
      <w:r>
        <w:t xml:space="preserve"> as an optional UE sub-capability in Rel. 16 Type II codebook</w:t>
      </w:r>
      <w:r>
        <w:rPr>
          <w:i/>
          <w:iCs/>
        </w:rPr>
        <w:t>.</w:t>
      </w:r>
    </w:p>
    <w:p w14:paraId="7EE99391" w14:textId="6AFB90C0" w:rsidR="00362174" w:rsidRPr="004558F4" w:rsidRDefault="0097516B" w:rsidP="00A41A8D">
      <w:pPr>
        <w:pStyle w:val="Proposal"/>
        <w:numPr>
          <w:ilvl w:val="0"/>
          <w:numId w:val="0"/>
        </w:numPr>
        <w:ind w:left="1699"/>
      </w:pPr>
      <w:r>
        <w:t xml:space="preserve"> </w:t>
      </w:r>
    </w:p>
    <w:p w14:paraId="61CF15D0" w14:textId="77777777" w:rsidR="00D12DC4" w:rsidRDefault="00D12DC4" w:rsidP="00C5090F">
      <w:pPr>
        <w:pStyle w:val="Heading1"/>
        <w:numPr>
          <w:ilvl w:val="0"/>
          <w:numId w:val="0"/>
        </w:numPr>
        <w:sectPr w:rsidR="00D12DC4" w:rsidSect="00D12DC4">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pPr>
    </w:p>
    <w:p w14:paraId="3B2B8502" w14:textId="02E2E784" w:rsidR="00F92CC9" w:rsidRDefault="00F92CC9" w:rsidP="00F92CC9">
      <w:pPr>
        <w:pStyle w:val="Heading1"/>
      </w:pPr>
      <w:r>
        <w:lastRenderedPageBreak/>
        <w:t>Conclusion</w:t>
      </w:r>
    </w:p>
    <w:p w14:paraId="71258B00" w14:textId="1422728F" w:rsidR="0000320B" w:rsidRDefault="00F92CC9" w:rsidP="00384511">
      <w:r>
        <w:t>Based on the discussion in this contribution we make the following observations:</w:t>
      </w:r>
    </w:p>
    <w:p w14:paraId="3990007F" w14:textId="4EF23AA1" w:rsidR="00F92CC9" w:rsidRPr="00F92CC9" w:rsidRDefault="00384511" w:rsidP="00384511">
      <w:pPr>
        <w:pStyle w:val="Observation"/>
        <w:numPr>
          <w:ilvl w:val="0"/>
          <w:numId w:val="29"/>
        </w:numPr>
        <w:spacing w:after="0" w:line="360" w:lineRule="auto"/>
        <w:ind w:left="1710" w:hanging="1710"/>
        <w:rPr>
          <w:rFonts w:eastAsiaTheme="minorEastAsia"/>
        </w:rPr>
      </w:pPr>
      <w:r w:rsidRPr="00384511">
        <w:t>Both Alt2 and Alt3 provide reason</w:t>
      </w:r>
      <w:r>
        <w:t>able UE sub-capability features</w:t>
      </w:r>
      <w:r w:rsidR="00F92CC9">
        <w:t>.</w:t>
      </w:r>
    </w:p>
    <w:p w14:paraId="02F87E6C" w14:textId="32AC8D07" w:rsidR="00F92CC9" w:rsidRDefault="00384511" w:rsidP="00F92CC9">
      <w:pPr>
        <w:pStyle w:val="Observation"/>
        <w:ind w:left="1699" w:hanging="1699"/>
      </w:pPr>
      <w:r>
        <w:t xml:space="preserve">Alt3 is slightly preferred since </w:t>
      </w:r>
      <w:r w:rsidRPr="00384511">
        <w:rPr>
          <w:i/>
          <w:iCs/>
        </w:rPr>
        <w:t>R=2</w:t>
      </w:r>
      <w:r>
        <w:t xml:space="preserve"> is considered an advanced feature for Rel. 16 Type II codebook</w:t>
      </w:r>
      <w:r w:rsidR="00F92CC9">
        <w:t>.</w:t>
      </w:r>
    </w:p>
    <w:p w14:paraId="59910BFF" w14:textId="4D1CCF2F" w:rsidR="00F92CC9" w:rsidRDefault="00967880" w:rsidP="00F92CC9">
      <w:pPr>
        <w:pStyle w:val="Observation"/>
        <w:ind w:left="1699" w:hanging="1699"/>
      </w:pPr>
      <w:r>
        <w:t xml:space="preserve">In Rel. 15, the UE behavior is not explicitly clarified when the </w:t>
      </w:r>
      <w:r w:rsidRPr="00AA3A6C">
        <w:rPr>
          <w:i/>
          <w:iCs/>
        </w:rPr>
        <w:t>amplitudeSubsetRestriction</w:t>
      </w:r>
      <w:r>
        <w:t xml:space="preserve"> parameter is not set to </w:t>
      </w:r>
      <w:r>
        <w:rPr>
          <w:i/>
          <w:iCs/>
        </w:rPr>
        <w:t>supported</w:t>
      </w:r>
      <w:r w:rsidR="00F92CC9">
        <w:t>.</w:t>
      </w:r>
    </w:p>
    <w:p w14:paraId="707D103B" w14:textId="65BE0157" w:rsidR="00F92CC9" w:rsidRPr="009E784A" w:rsidRDefault="00967880" w:rsidP="00C5090F">
      <w:pPr>
        <w:pStyle w:val="Observation"/>
        <w:spacing w:after="0" w:line="360" w:lineRule="auto"/>
        <w:rPr>
          <w:rFonts w:eastAsiaTheme="minorEastAsia"/>
        </w:rPr>
      </w:pPr>
      <w:r>
        <w:t xml:space="preserve">Clarifying the behavior of </w:t>
      </w:r>
      <w:r w:rsidR="00812E75">
        <w:t xml:space="preserve">the </w:t>
      </w:r>
      <w:r w:rsidRPr="00AA3A6C">
        <w:rPr>
          <w:i/>
          <w:iCs/>
        </w:rPr>
        <w:t>amplitudeSubsetRestriction</w:t>
      </w:r>
      <w:r>
        <w:t xml:space="preserve"> parameter </w:t>
      </w:r>
      <w:r w:rsidRPr="009906B1">
        <w:t>in Rel. 15</w:t>
      </w:r>
      <w:r>
        <w:t xml:space="preserve"> when not set to </w:t>
      </w:r>
      <w:r>
        <w:rPr>
          <w:i/>
          <w:iCs/>
        </w:rPr>
        <w:t xml:space="preserve">supported </w:t>
      </w:r>
      <w:r>
        <w:t>would help</w:t>
      </w:r>
      <w:r w:rsidR="00812E75">
        <w:t xml:space="preserve"> making the Rel. 15 and</w:t>
      </w:r>
      <w:r>
        <w:t xml:space="preserve"> Rel. 16 specification</w:t>
      </w:r>
      <w:r w:rsidR="00812E75">
        <w:t>s consistent</w:t>
      </w:r>
      <w:r>
        <w:t>, since the same UE behavior would be applied</w:t>
      </w:r>
      <w:r w:rsidR="00F92CC9">
        <w:t>.</w:t>
      </w:r>
    </w:p>
    <w:p w14:paraId="08E48912" w14:textId="071790CD" w:rsidR="00F92CC9" w:rsidRPr="00E64826" w:rsidRDefault="000E4E9E" w:rsidP="00F92CC9">
      <w:pPr>
        <w:pStyle w:val="Observation"/>
        <w:spacing w:after="0" w:line="360" w:lineRule="auto"/>
        <w:rPr>
          <w:rFonts w:eastAsiaTheme="minorEastAsia"/>
        </w:rPr>
      </w:pPr>
      <w:r>
        <w:t xml:space="preserve">Triggering </w:t>
      </w:r>
      <w:r w:rsidR="00384511">
        <w:t>multiple codebook types simultaneously should not be fully precluded</w:t>
      </w:r>
      <w:r w:rsidR="00F92CC9">
        <w:t>.</w:t>
      </w:r>
    </w:p>
    <w:p w14:paraId="33751F93" w14:textId="453DFCEA" w:rsidR="00F92CC9" w:rsidRPr="007A2CEB" w:rsidRDefault="00812E75" w:rsidP="003F0B0C">
      <w:pPr>
        <w:numPr>
          <w:ilvl w:val="0"/>
          <w:numId w:val="3"/>
        </w:numPr>
        <w:tabs>
          <w:tab w:val="left" w:pos="1701"/>
        </w:tabs>
        <w:ind w:left="1701" w:hanging="1701"/>
        <w:rPr>
          <w:b/>
          <w:bCs/>
        </w:rPr>
      </w:pPr>
      <w:r>
        <w:rPr>
          <w:b/>
          <w:bCs/>
        </w:rPr>
        <w:t>Triggering</w:t>
      </w:r>
      <w:r w:rsidR="003F0B0C" w:rsidRPr="003F0B0C">
        <w:rPr>
          <w:b/>
          <w:bCs/>
        </w:rPr>
        <w:t xml:space="preserve"> Type II Rel. 15 and Type II Rel. 16 codebooks simultaneously may be unnecessary since both codebook types have many similar features</w:t>
      </w:r>
      <w:r w:rsidR="00F92CC9" w:rsidRPr="007A2CEB">
        <w:rPr>
          <w:b/>
          <w:bCs/>
        </w:rPr>
        <w:t>.</w:t>
      </w:r>
    </w:p>
    <w:p w14:paraId="5F6546E3" w14:textId="2E2E5EBC" w:rsidR="00F92CC9" w:rsidRDefault="00384511" w:rsidP="00384511">
      <w:pPr>
        <w:numPr>
          <w:ilvl w:val="0"/>
          <w:numId w:val="3"/>
        </w:numPr>
        <w:tabs>
          <w:tab w:val="left" w:pos="1701"/>
        </w:tabs>
        <w:ind w:left="1701" w:hanging="1701"/>
        <w:rPr>
          <w:b/>
          <w:bCs/>
        </w:rPr>
      </w:pPr>
      <w:r w:rsidRPr="00384511">
        <w:rPr>
          <w:b/>
          <w:bCs/>
        </w:rPr>
        <w:t>Alt3 provides a reasonable means of UE capability reporting for concurrent codebooks</w:t>
      </w:r>
      <w:r w:rsidR="00F92CC9">
        <w:rPr>
          <w:b/>
          <w:bCs/>
        </w:rPr>
        <w:t>.</w:t>
      </w:r>
    </w:p>
    <w:p w14:paraId="43F527F1" w14:textId="5738F0AF" w:rsidR="00C84E23" w:rsidRPr="00BF4D7D" w:rsidRDefault="00C84E23" w:rsidP="00C84E23">
      <w:pPr>
        <w:numPr>
          <w:ilvl w:val="0"/>
          <w:numId w:val="3"/>
        </w:numPr>
        <w:tabs>
          <w:tab w:val="left" w:pos="1701"/>
        </w:tabs>
        <w:ind w:left="1701" w:hanging="1701"/>
        <w:rPr>
          <w:b/>
          <w:bCs/>
        </w:rPr>
      </w:pPr>
      <w:r w:rsidRPr="00C84E23">
        <w:rPr>
          <w:b/>
          <w:bCs/>
        </w:rPr>
        <w:t xml:space="preserve">Supporting </w:t>
      </w:r>
      <w:r w:rsidRPr="00C84E23">
        <w:rPr>
          <w:b/>
          <w:bCs/>
          <w:i/>
          <w:iCs/>
        </w:rPr>
        <w:t>RI &gt;2</w:t>
      </w:r>
      <w:r w:rsidRPr="00C84E23">
        <w:rPr>
          <w:b/>
          <w:bCs/>
        </w:rPr>
        <w:t xml:space="preserve"> may significantly increase the complexity of computing the codebook parameters at the UE</w:t>
      </w:r>
      <w:r>
        <w:rPr>
          <w:b/>
          <w:bCs/>
        </w:rPr>
        <w:t>.</w:t>
      </w:r>
    </w:p>
    <w:p w14:paraId="17D8DC8F" w14:textId="77777777" w:rsidR="00384511" w:rsidRDefault="00384511" w:rsidP="00A77679"/>
    <w:p w14:paraId="72EABD2F" w14:textId="2AF1542F" w:rsidR="004F459C" w:rsidRPr="00A77679" w:rsidRDefault="00384511" w:rsidP="00384511">
      <w:r>
        <w:t>Our</w:t>
      </w:r>
      <w:r w:rsidR="004F459C">
        <w:t xml:space="preserve"> proposals are </w:t>
      </w:r>
      <w:r>
        <w:t>as</w:t>
      </w:r>
      <w:r w:rsidR="004F459C">
        <w:t xml:space="preserve"> follow</w:t>
      </w:r>
      <w:r>
        <w:t>s</w:t>
      </w:r>
      <w:r w:rsidR="004F459C">
        <w:t>:</w:t>
      </w:r>
    </w:p>
    <w:p w14:paraId="3268B746" w14:textId="15362A4D" w:rsidR="004F459C" w:rsidRDefault="005740FE" w:rsidP="002E5C61">
      <w:pPr>
        <w:pStyle w:val="Proposal"/>
        <w:numPr>
          <w:ilvl w:val="0"/>
          <w:numId w:val="32"/>
        </w:numPr>
        <w:ind w:left="2030" w:hanging="2030"/>
      </w:pPr>
      <w:r>
        <w:t>Support Alt3 for UE capability on number of PMI subbands. Alt2 is second preference</w:t>
      </w:r>
      <w:r w:rsidR="00384511">
        <w:t>.</w:t>
      </w:r>
    </w:p>
    <w:p w14:paraId="530F0F17" w14:textId="6737A500" w:rsidR="00775361" w:rsidRDefault="00775361" w:rsidP="00775361">
      <w:pPr>
        <w:numPr>
          <w:ilvl w:val="0"/>
          <w:numId w:val="2"/>
        </w:numPr>
        <w:tabs>
          <w:tab w:val="left" w:pos="1701"/>
        </w:tabs>
        <w:ind w:left="1701" w:hanging="1701"/>
        <w:rPr>
          <w:b/>
          <w:bCs/>
        </w:rPr>
      </w:pPr>
      <w:r w:rsidRPr="00775361">
        <w:rPr>
          <w:b/>
          <w:bCs/>
        </w:rPr>
        <w:t xml:space="preserve">Draft CR proposals should be submitted to Rel. 15 MIMO maintenance AI to clarify the UE behavior when the parameter </w:t>
      </w:r>
      <w:r w:rsidRPr="00775361">
        <w:rPr>
          <w:b/>
          <w:bCs/>
          <w:i/>
          <w:iCs/>
        </w:rPr>
        <w:t>amplitudeSubsetRestriction</w:t>
      </w:r>
      <w:r w:rsidRPr="00775361">
        <w:rPr>
          <w:b/>
          <w:bCs/>
        </w:rPr>
        <w:t xml:space="preserve"> is not set to </w:t>
      </w:r>
      <w:r w:rsidRPr="00775361">
        <w:rPr>
          <w:b/>
          <w:bCs/>
          <w:i/>
          <w:iCs/>
        </w:rPr>
        <w:t>supported</w:t>
      </w:r>
      <w:r>
        <w:rPr>
          <w:b/>
          <w:bCs/>
        </w:rPr>
        <w:t>.</w:t>
      </w:r>
    </w:p>
    <w:p w14:paraId="3DF12879" w14:textId="0C7FDB5F" w:rsidR="00775361" w:rsidRDefault="00775361" w:rsidP="00775361">
      <w:pPr>
        <w:numPr>
          <w:ilvl w:val="0"/>
          <w:numId w:val="2"/>
        </w:numPr>
        <w:tabs>
          <w:tab w:val="left" w:pos="1701"/>
        </w:tabs>
        <w:ind w:left="1701" w:hanging="1701"/>
        <w:rPr>
          <w:b/>
          <w:bCs/>
        </w:rPr>
      </w:pPr>
      <w:r w:rsidRPr="00775361">
        <w:rPr>
          <w:b/>
          <w:bCs/>
        </w:rPr>
        <w:t xml:space="preserve">The same functionality of the parameter </w:t>
      </w:r>
      <w:r w:rsidRPr="00775361">
        <w:rPr>
          <w:b/>
          <w:bCs/>
          <w:i/>
          <w:iCs/>
        </w:rPr>
        <w:t>amplitudeSubsetRestriction</w:t>
      </w:r>
      <w:r w:rsidRPr="00775361" w:rsidDel="000E149B">
        <w:rPr>
          <w:b/>
          <w:bCs/>
        </w:rPr>
        <w:t xml:space="preserve"> </w:t>
      </w:r>
      <w:r w:rsidRPr="00775361">
        <w:rPr>
          <w:b/>
          <w:bCs/>
        </w:rPr>
        <w:t>of Rel. 15 CBSR should carry on to Rel. 16 CBSR</w:t>
      </w:r>
      <w:r>
        <w:rPr>
          <w:b/>
          <w:bCs/>
        </w:rPr>
        <w:t>.</w:t>
      </w:r>
    </w:p>
    <w:p w14:paraId="78E9A29E" w14:textId="6E52F036" w:rsidR="00775361" w:rsidRPr="00384511" w:rsidRDefault="00775361" w:rsidP="00C84E23">
      <w:pPr>
        <w:numPr>
          <w:ilvl w:val="0"/>
          <w:numId w:val="2"/>
        </w:numPr>
        <w:tabs>
          <w:tab w:val="left" w:pos="1701"/>
        </w:tabs>
        <w:ind w:left="1701" w:hanging="1701"/>
        <w:rPr>
          <w:b/>
          <w:bCs/>
        </w:rPr>
      </w:pPr>
      <w:r w:rsidRPr="00C84E23">
        <w:rPr>
          <w:b/>
          <w:bCs/>
        </w:rPr>
        <w:t>Only Rel. 15 Type I + Rel. 15 Type II OR Rel. 15 Type I + Rel. 16 Type II codebook combinations should be considered for UE capability signaling</w:t>
      </w:r>
      <w:r>
        <w:rPr>
          <w:b/>
          <w:bCs/>
        </w:rPr>
        <w:t>.</w:t>
      </w:r>
    </w:p>
    <w:p w14:paraId="6F206DE1" w14:textId="33FFE7BD" w:rsidR="00384511" w:rsidRDefault="00C84E23" w:rsidP="00C84E23">
      <w:pPr>
        <w:numPr>
          <w:ilvl w:val="0"/>
          <w:numId w:val="2"/>
        </w:numPr>
        <w:tabs>
          <w:tab w:val="left" w:pos="1701"/>
        </w:tabs>
        <w:ind w:left="1701" w:hanging="1701"/>
        <w:rPr>
          <w:b/>
          <w:bCs/>
        </w:rPr>
      </w:pPr>
      <w:r w:rsidRPr="00C84E23">
        <w:rPr>
          <w:b/>
          <w:bCs/>
        </w:rPr>
        <w:t>Support Alt3 for UE capability related to supporting concurrent codebooks</w:t>
      </w:r>
      <w:r w:rsidR="00384511">
        <w:rPr>
          <w:b/>
          <w:bCs/>
        </w:rPr>
        <w:t>.</w:t>
      </w:r>
    </w:p>
    <w:p w14:paraId="0E9CF896" w14:textId="2C04710E" w:rsidR="00C84E23" w:rsidRDefault="00C84E23" w:rsidP="00A41A8D">
      <w:pPr>
        <w:numPr>
          <w:ilvl w:val="0"/>
          <w:numId w:val="2"/>
        </w:numPr>
        <w:tabs>
          <w:tab w:val="left" w:pos="1701"/>
        </w:tabs>
        <w:ind w:left="1701" w:hanging="1701"/>
        <w:rPr>
          <w:b/>
          <w:bCs/>
        </w:rPr>
      </w:pPr>
      <w:r w:rsidRPr="00C84E23">
        <w:rPr>
          <w:b/>
          <w:bCs/>
        </w:rPr>
        <w:t xml:space="preserve">Support </w:t>
      </w:r>
      <w:r w:rsidRPr="00C84E23">
        <w:rPr>
          <w:b/>
          <w:bCs/>
          <w:i/>
          <w:iCs/>
        </w:rPr>
        <w:t>RI &gt;2</w:t>
      </w:r>
      <w:r w:rsidRPr="00C84E23">
        <w:rPr>
          <w:b/>
          <w:bCs/>
        </w:rPr>
        <w:t xml:space="preserve"> as an optional UE sub-capability in Rel. 16 Type II codebook</w:t>
      </w:r>
      <w:r>
        <w:rPr>
          <w:b/>
          <w:bCs/>
        </w:rPr>
        <w:t>.</w:t>
      </w:r>
    </w:p>
    <w:p w14:paraId="4171EA7F" w14:textId="77777777" w:rsidR="00A41A8D" w:rsidRPr="00C5090F" w:rsidRDefault="00A41A8D" w:rsidP="00A41A8D">
      <w:pPr>
        <w:tabs>
          <w:tab w:val="left" w:pos="1701"/>
        </w:tabs>
        <w:ind w:left="1701"/>
        <w:rPr>
          <w:b/>
          <w:bCs/>
        </w:rPr>
      </w:pPr>
    </w:p>
    <w:sdt>
      <w:sdtPr>
        <w:rPr>
          <w:rFonts w:ascii="Times New Roman" w:hAnsi="Times New Roman" w:cs="Times New Roman"/>
          <w:sz w:val="20"/>
          <w:szCs w:val="20"/>
          <w:lang w:val="en-US"/>
        </w:rPr>
        <w:id w:val="-1324659909"/>
        <w:docPartObj>
          <w:docPartGallery w:val="Bibliographies"/>
          <w:docPartUnique/>
        </w:docPartObj>
      </w:sdtPr>
      <w:sdtEndPr/>
      <w:sdtContent>
        <w:p w14:paraId="5F77FF31" w14:textId="11D5F789" w:rsidR="00881FF9" w:rsidRDefault="00881FF9">
          <w:pPr>
            <w:pStyle w:val="Heading1"/>
          </w:pPr>
          <w:r>
            <w:t>References</w:t>
          </w:r>
        </w:p>
        <w:sdt>
          <w:sdtPr>
            <w:id w:val="-573587230"/>
            <w:bibliography/>
          </w:sdtPr>
          <w:sdtEndPr/>
          <w:sdtContent>
            <w:p w14:paraId="2030F0B7" w14:textId="77777777" w:rsidR="00881FF9" w:rsidRDefault="00881FF9">
              <w:pPr>
                <w:rPr>
                  <w:rFonts w:asciiTheme="minorHAnsi" w:eastAsiaTheme="minorHAnsi" w:hAnsiTheme="minorHAnsi" w:cstheme="minorBidi"/>
                  <w:noProof/>
                  <w:sz w:val="22"/>
                  <w:szCs w:val="22"/>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881FF9" w14:paraId="51E4A02C" w14:textId="77777777">
                <w:trPr>
                  <w:divId w:val="576596646"/>
                  <w:tblCellSpacing w:w="15" w:type="dxa"/>
                </w:trPr>
                <w:tc>
                  <w:tcPr>
                    <w:tcW w:w="50" w:type="pct"/>
                    <w:hideMark/>
                  </w:tcPr>
                  <w:p w14:paraId="39EF0750" w14:textId="4E86B094" w:rsidR="00881FF9" w:rsidRDefault="00881FF9">
                    <w:pPr>
                      <w:pStyle w:val="Bibliography"/>
                      <w:rPr>
                        <w:noProof/>
                        <w:sz w:val="24"/>
                        <w:szCs w:val="24"/>
                        <w:lang w:val="en-GB"/>
                      </w:rPr>
                    </w:pPr>
                    <w:r>
                      <w:rPr>
                        <w:noProof/>
                        <w:lang w:val="en-GB"/>
                      </w:rPr>
                      <w:t xml:space="preserve">[1] </w:t>
                    </w:r>
                  </w:p>
                </w:tc>
                <w:tc>
                  <w:tcPr>
                    <w:tcW w:w="0" w:type="auto"/>
                    <w:hideMark/>
                  </w:tcPr>
                  <w:p w14:paraId="21F86919" w14:textId="77777777" w:rsidR="00881FF9" w:rsidRDefault="00881FF9">
                    <w:pPr>
                      <w:pStyle w:val="Bibliography"/>
                      <w:rPr>
                        <w:noProof/>
                        <w:lang w:val="en-GB"/>
                      </w:rPr>
                    </w:pPr>
                    <w:r>
                      <w:rPr>
                        <w:noProof/>
                        <w:lang w:val="en-GB"/>
                      </w:rPr>
                      <w:t>“RAN1#98bis Chairman's Notes,” Chongqing, CN, Oct. 14-20, 2019.</w:t>
                    </w:r>
                  </w:p>
                </w:tc>
              </w:tr>
            </w:tbl>
            <w:p w14:paraId="4AE1ABC0" w14:textId="77777777" w:rsidR="00881FF9" w:rsidRDefault="00881FF9">
              <w:pPr>
                <w:divId w:val="576596646"/>
                <w:rPr>
                  <w:noProof/>
                </w:rPr>
              </w:pPr>
            </w:p>
            <w:p w14:paraId="6FD6B964" w14:textId="0DBFCE63" w:rsidR="00B546EC" w:rsidRPr="00B546EC" w:rsidRDefault="00881FF9" w:rsidP="00C5090F">
              <w:r>
                <w:rPr>
                  <w:b/>
                  <w:bCs/>
                  <w:noProof/>
                </w:rPr>
                <w:fldChar w:fldCharType="end"/>
              </w:r>
            </w:p>
          </w:sdtContent>
        </w:sdt>
      </w:sdtContent>
    </w:sdt>
    <w:sectPr w:rsidR="00B546EC" w:rsidRPr="00B546EC" w:rsidSect="00C5265C">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B4AFA" w14:textId="77777777" w:rsidR="00DB54F0" w:rsidRDefault="00DB54F0">
      <w:pPr>
        <w:spacing w:after="0"/>
      </w:pPr>
      <w:r>
        <w:separator/>
      </w:r>
    </w:p>
  </w:endnote>
  <w:endnote w:type="continuationSeparator" w:id="0">
    <w:p w14:paraId="22534808" w14:textId="77777777" w:rsidR="00DB54F0" w:rsidRDefault="00DB54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25DE7" w14:textId="3F4C5B3D" w:rsidR="00B546EC" w:rsidRDefault="00B546EC"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rsidR="007929BF">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4E9F9" w14:textId="77777777" w:rsidR="00DB54F0" w:rsidRDefault="00DB54F0">
      <w:pPr>
        <w:spacing w:after="0"/>
      </w:pPr>
      <w:r>
        <w:separator/>
      </w:r>
    </w:p>
  </w:footnote>
  <w:footnote w:type="continuationSeparator" w:id="0">
    <w:p w14:paraId="6DFEE7D1" w14:textId="77777777" w:rsidR="00DB54F0" w:rsidRDefault="00DB54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E61A0" w14:textId="08D69549" w:rsidR="00B546EC" w:rsidRDefault="00B546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1659CB"/>
    <w:multiLevelType w:val="hybridMultilevel"/>
    <w:tmpl w:val="DFF68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4D2153"/>
    <w:multiLevelType w:val="hybridMultilevel"/>
    <w:tmpl w:val="ADCCF87E"/>
    <w:lvl w:ilvl="0" w:tplc="0409000F">
      <w:start w:val="1"/>
      <w:numFmt w:val="decimal"/>
      <w:lvlText w:val="%1."/>
      <w:lvlJc w:val="left"/>
      <w:pPr>
        <w:ind w:left="1170" w:hanging="360"/>
      </w:pPr>
      <w:rPr>
        <w:rFonts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7F79AB"/>
    <w:multiLevelType w:val="hybridMultilevel"/>
    <w:tmpl w:val="C13EF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5A43BE"/>
    <w:multiLevelType w:val="hybridMultilevel"/>
    <w:tmpl w:val="6D5E4A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E570B0B8"/>
    <w:lvl w:ilvl="0" w:tplc="C200F7CC">
      <w:start w:val="1"/>
      <w:numFmt w:val="decimal"/>
      <w:pStyle w:val="Proposal"/>
      <w:lvlText w:val="Proposal %1"/>
      <w:lvlJc w:val="left"/>
      <w:pPr>
        <w:tabs>
          <w:tab w:val="num" w:pos="3464"/>
        </w:tabs>
        <w:ind w:left="3464" w:hanging="1304"/>
      </w:pPr>
      <w:rPr>
        <w:rFonts w:hint="default"/>
        <w:sz w:val="20"/>
        <w:szCs w:val="20"/>
      </w:rPr>
    </w:lvl>
    <w:lvl w:ilvl="1" w:tplc="04090001">
      <w:start w:val="1"/>
      <w:numFmt w:val="bullet"/>
      <w:lvlText w:val=""/>
      <w:lvlJc w:val="left"/>
      <w:pPr>
        <w:tabs>
          <w:tab w:val="num" w:pos="3600"/>
        </w:tabs>
        <w:ind w:left="3600" w:hanging="360"/>
      </w:pPr>
      <w:rPr>
        <w:rFonts w:ascii="Symbol" w:hAnsi="Symbol" w:hint="default"/>
      </w:r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2" w15:restartNumberingAfterBreak="0">
    <w:nsid w:val="3C68185F"/>
    <w:multiLevelType w:val="hybridMultilevel"/>
    <w:tmpl w:val="725A41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F737F9"/>
    <w:multiLevelType w:val="hybridMultilevel"/>
    <w:tmpl w:val="770C8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7A2CB5"/>
    <w:multiLevelType w:val="hybridMultilevel"/>
    <w:tmpl w:val="BB8EF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D3C9D"/>
    <w:multiLevelType w:val="hybridMultilevel"/>
    <w:tmpl w:val="337C76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EB66E6"/>
    <w:multiLevelType w:val="hybridMultilevel"/>
    <w:tmpl w:val="6EA65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55B22"/>
    <w:multiLevelType w:val="hybridMultilevel"/>
    <w:tmpl w:val="E2AA0E20"/>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8"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6"/>
  </w:num>
  <w:num w:numId="4">
    <w:abstractNumId w:val="8"/>
  </w:num>
  <w:num w:numId="5">
    <w:abstractNumId w:val="2"/>
  </w:num>
  <w:num w:numId="6">
    <w:abstractNumId w:val="18"/>
  </w:num>
  <w:num w:numId="7">
    <w:abstractNumId w:val="27"/>
  </w:num>
  <w:num w:numId="8">
    <w:abstractNumId w:val="13"/>
  </w:num>
  <w:num w:numId="9">
    <w:abstractNumId w:val="14"/>
  </w:num>
  <w:num w:numId="10">
    <w:abstractNumId w:val="1"/>
  </w:num>
  <w:num w:numId="11">
    <w:abstractNumId w:val="4"/>
  </w:num>
  <w:num w:numId="12">
    <w:abstractNumId w:val="10"/>
  </w:num>
  <w:num w:numId="13">
    <w:abstractNumId w:val="12"/>
  </w:num>
  <w:num w:numId="14">
    <w:abstractNumId w:val="6"/>
  </w:num>
  <w:num w:numId="15">
    <w:abstractNumId w:val="23"/>
  </w:num>
  <w:num w:numId="16">
    <w:abstractNumId w:val="0"/>
  </w:num>
  <w:num w:numId="17">
    <w:abstractNumId w:val="3"/>
  </w:num>
  <w:num w:numId="18">
    <w:abstractNumId w:val="24"/>
  </w:num>
  <w:num w:numId="19">
    <w:abstractNumId w:val="0"/>
  </w:num>
  <w:num w:numId="20">
    <w:abstractNumId w:val="17"/>
  </w:num>
  <w:num w:numId="21">
    <w:abstractNumId w:val="0"/>
  </w:num>
  <w:num w:numId="22">
    <w:abstractNumId w:val="0"/>
  </w:num>
  <w:num w:numId="23">
    <w:abstractNumId w:val="7"/>
  </w:num>
  <w:num w:numId="24">
    <w:abstractNumId w:val="25"/>
  </w:num>
  <w:num w:numId="25">
    <w:abstractNumId w:val="9"/>
  </w:num>
  <w:num w:numId="26">
    <w:abstractNumId w:val="28"/>
  </w:num>
  <w:num w:numId="27">
    <w:abstractNumId w:val="26"/>
  </w:num>
  <w:num w:numId="28">
    <w:abstractNumId w:val="22"/>
  </w:num>
  <w:num w:numId="29">
    <w:abstractNumId w:val="16"/>
    <w:lvlOverride w:ilvl="0">
      <w:startOverride w:val="1"/>
    </w:lvlOverride>
  </w:num>
  <w:num w:numId="30">
    <w:abstractNumId w:val="11"/>
    <w:lvlOverride w:ilvl="0">
      <w:startOverride w:val="1"/>
    </w:lvlOverride>
  </w:num>
  <w:num w:numId="31">
    <w:abstractNumId w:val="11"/>
  </w:num>
  <w:num w:numId="32">
    <w:abstractNumId w:val="11"/>
    <w:lvlOverride w:ilvl="0">
      <w:startOverride w:val="1"/>
    </w:lvlOverride>
  </w:num>
  <w:num w:numId="33">
    <w:abstractNumId w:val="15"/>
  </w:num>
  <w:num w:numId="34">
    <w:abstractNumId w:val="19"/>
  </w:num>
  <w:num w:numId="35">
    <w:abstractNumId w:val="20"/>
  </w:num>
  <w:num w:numId="36">
    <w:abstractNumId w:val="5"/>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C0E"/>
    <w:rsid w:val="0000320B"/>
    <w:rsid w:val="0001171F"/>
    <w:rsid w:val="0001567F"/>
    <w:rsid w:val="000159C3"/>
    <w:rsid w:val="000165CF"/>
    <w:rsid w:val="00037334"/>
    <w:rsid w:val="00051CC0"/>
    <w:rsid w:val="00053739"/>
    <w:rsid w:val="00063FC4"/>
    <w:rsid w:val="00066DE0"/>
    <w:rsid w:val="00073399"/>
    <w:rsid w:val="00093E3E"/>
    <w:rsid w:val="00097A86"/>
    <w:rsid w:val="000A09E1"/>
    <w:rsid w:val="000A45C4"/>
    <w:rsid w:val="000C0858"/>
    <w:rsid w:val="000C223D"/>
    <w:rsid w:val="000C6D4C"/>
    <w:rsid w:val="000E149B"/>
    <w:rsid w:val="000E2E0B"/>
    <w:rsid w:val="000E4E9E"/>
    <w:rsid w:val="000F3673"/>
    <w:rsid w:val="000F4C69"/>
    <w:rsid w:val="00103AB9"/>
    <w:rsid w:val="0010683F"/>
    <w:rsid w:val="001120D3"/>
    <w:rsid w:val="0011263B"/>
    <w:rsid w:val="001217A0"/>
    <w:rsid w:val="00122660"/>
    <w:rsid w:val="001332BA"/>
    <w:rsid w:val="00133D6D"/>
    <w:rsid w:val="00134D78"/>
    <w:rsid w:val="00136C0E"/>
    <w:rsid w:val="0013746C"/>
    <w:rsid w:val="001438A5"/>
    <w:rsid w:val="001556E7"/>
    <w:rsid w:val="00156E34"/>
    <w:rsid w:val="00160B4B"/>
    <w:rsid w:val="001664D9"/>
    <w:rsid w:val="001733E0"/>
    <w:rsid w:val="001C3BB1"/>
    <w:rsid w:val="001E0376"/>
    <w:rsid w:val="001F64BB"/>
    <w:rsid w:val="00203559"/>
    <w:rsid w:val="00216860"/>
    <w:rsid w:val="002238E1"/>
    <w:rsid w:val="00226052"/>
    <w:rsid w:val="0023503D"/>
    <w:rsid w:val="00237691"/>
    <w:rsid w:val="00245F3E"/>
    <w:rsid w:val="0025055A"/>
    <w:rsid w:val="00250F0F"/>
    <w:rsid w:val="00260F8B"/>
    <w:rsid w:val="002611BB"/>
    <w:rsid w:val="0026272E"/>
    <w:rsid w:val="00284463"/>
    <w:rsid w:val="00290A60"/>
    <w:rsid w:val="002A0517"/>
    <w:rsid w:val="002B3518"/>
    <w:rsid w:val="002B4189"/>
    <w:rsid w:val="002C0CEE"/>
    <w:rsid w:val="002C1C4E"/>
    <w:rsid w:val="002D7045"/>
    <w:rsid w:val="002E0F61"/>
    <w:rsid w:val="002E5C61"/>
    <w:rsid w:val="002E76A2"/>
    <w:rsid w:val="0030544D"/>
    <w:rsid w:val="00310C76"/>
    <w:rsid w:val="0031589C"/>
    <w:rsid w:val="00322723"/>
    <w:rsid w:val="0035335D"/>
    <w:rsid w:val="00360DB3"/>
    <w:rsid w:val="00362174"/>
    <w:rsid w:val="00363946"/>
    <w:rsid w:val="00363D0A"/>
    <w:rsid w:val="003779ED"/>
    <w:rsid w:val="0038381C"/>
    <w:rsid w:val="00383FE7"/>
    <w:rsid w:val="00384511"/>
    <w:rsid w:val="00394BBA"/>
    <w:rsid w:val="00397330"/>
    <w:rsid w:val="003B0384"/>
    <w:rsid w:val="003B2A91"/>
    <w:rsid w:val="003B45AA"/>
    <w:rsid w:val="003B6230"/>
    <w:rsid w:val="003C2EAB"/>
    <w:rsid w:val="003C6BBB"/>
    <w:rsid w:val="003C72D5"/>
    <w:rsid w:val="003D3636"/>
    <w:rsid w:val="003E3510"/>
    <w:rsid w:val="003F0B0C"/>
    <w:rsid w:val="003F10F9"/>
    <w:rsid w:val="004020E5"/>
    <w:rsid w:val="00412B4B"/>
    <w:rsid w:val="00430A76"/>
    <w:rsid w:val="004401C6"/>
    <w:rsid w:val="004558F4"/>
    <w:rsid w:val="00471BCE"/>
    <w:rsid w:val="00473FC7"/>
    <w:rsid w:val="00484183"/>
    <w:rsid w:val="00485634"/>
    <w:rsid w:val="004B61B3"/>
    <w:rsid w:val="004D2995"/>
    <w:rsid w:val="004D3F02"/>
    <w:rsid w:val="004D4676"/>
    <w:rsid w:val="004F459C"/>
    <w:rsid w:val="00527E24"/>
    <w:rsid w:val="005354CA"/>
    <w:rsid w:val="00537505"/>
    <w:rsid w:val="00572AA2"/>
    <w:rsid w:val="005740FE"/>
    <w:rsid w:val="00582DA0"/>
    <w:rsid w:val="00583273"/>
    <w:rsid w:val="00595DA0"/>
    <w:rsid w:val="00597E24"/>
    <w:rsid w:val="005B1DFD"/>
    <w:rsid w:val="005C6FA5"/>
    <w:rsid w:val="005D01D9"/>
    <w:rsid w:val="005D084D"/>
    <w:rsid w:val="005D1432"/>
    <w:rsid w:val="005D47AB"/>
    <w:rsid w:val="005D4E48"/>
    <w:rsid w:val="005E0752"/>
    <w:rsid w:val="005E418D"/>
    <w:rsid w:val="00603373"/>
    <w:rsid w:val="00616891"/>
    <w:rsid w:val="006266AF"/>
    <w:rsid w:val="00633F86"/>
    <w:rsid w:val="00657E67"/>
    <w:rsid w:val="00657F9A"/>
    <w:rsid w:val="006A07F5"/>
    <w:rsid w:val="006A2F74"/>
    <w:rsid w:val="006A514B"/>
    <w:rsid w:val="006B0295"/>
    <w:rsid w:val="006C41D5"/>
    <w:rsid w:val="006C5D5B"/>
    <w:rsid w:val="006D0652"/>
    <w:rsid w:val="006D60CA"/>
    <w:rsid w:val="006E5352"/>
    <w:rsid w:val="006E5D5F"/>
    <w:rsid w:val="006F0DAE"/>
    <w:rsid w:val="006F5F47"/>
    <w:rsid w:val="00704173"/>
    <w:rsid w:val="00707874"/>
    <w:rsid w:val="007145D6"/>
    <w:rsid w:val="0072544A"/>
    <w:rsid w:val="007262AB"/>
    <w:rsid w:val="007352E9"/>
    <w:rsid w:val="007430D3"/>
    <w:rsid w:val="00747FEF"/>
    <w:rsid w:val="00752681"/>
    <w:rsid w:val="007657E0"/>
    <w:rsid w:val="0077354D"/>
    <w:rsid w:val="00775361"/>
    <w:rsid w:val="007753AB"/>
    <w:rsid w:val="007753E1"/>
    <w:rsid w:val="00790234"/>
    <w:rsid w:val="007929BF"/>
    <w:rsid w:val="0079671E"/>
    <w:rsid w:val="007A2CEB"/>
    <w:rsid w:val="007A6137"/>
    <w:rsid w:val="007A6254"/>
    <w:rsid w:val="007A7FFA"/>
    <w:rsid w:val="007B297B"/>
    <w:rsid w:val="007B61D0"/>
    <w:rsid w:val="007D244B"/>
    <w:rsid w:val="007E6D3A"/>
    <w:rsid w:val="007E7776"/>
    <w:rsid w:val="007F7E4F"/>
    <w:rsid w:val="00812E75"/>
    <w:rsid w:val="0082058B"/>
    <w:rsid w:val="008215BC"/>
    <w:rsid w:val="008221D6"/>
    <w:rsid w:val="00844066"/>
    <w:rsid w:val="008603C5"/>
    <w:rsid w:val="008647ED"/>
    <w:rsid w:val="00875A20"/>
    <w:rsid w:val="00877CC4"/>
    <w:rsid w:val="00880023"/>
    <w:rsid w:val="00881826"/>
    <w:rsid w:val="00881FF9"/>
    <w:rsid w:val="008837F1"/>
    <w:rsid w:val="00894FF7"/>
    <w:rsid w:val="008A1A9E"/>
    <w:rsid w:val="008A35A8"/>
    <w:rsid w:val="008A4FF9"/>
    <w:rsid w:val="008B3683"/>
    <w:rsid w:val="008C45D7"/>
    <w:rsid w:val="00907308"/>
    <w:rsid w:val="009267A8"/>
    <w:rsid w:val="0093351C"/>
    <w:rsid w:val="0094269E"/>
    <w:rsid w:val="00956CEE"/>
    <w:rsid w:val="00967880"/>
    <w:rsid w:val="009730BA"/>
    <w:rsid w:val="00973B4F"/>
    <w:rsid w:val="0097516B"/>
    <w:rsid w:val="009906B1"/>
    <w:rsid w:val="00990CB2"/>
    <w:rsid w:val="00994296"/>
    <w:rsid w:val="009948EB"/>
    <w:rsid w:val="009A692A"/>
    <w:rsid w:val="009B1AC9"/>
    <w:rsid w:val="009C32FC"/>
    <w:rsid w:val="009D46D7"/>
    <w:rsid w:val="009D77E4"/>
    <w:rsid w:val="009E141A"/>
    <w:rsid w:val="009E784A"/>
    <w:rsid w:val="009F6BFD"/>
    <w:rsid w:val="00A0707A"/>
    <w:rsid w:val="00A147F3"/>
    <w:rsid w:val="00A266F5"/>
    <w:rsid w:val="00A32F96"/>
    <w:rsid w:val="00A404D0"/>
    <w:rsid w:val="00A41A8D"/>
    <w:rsid w:val="00A4314E"/>
    <w:rsid w:val="00A73BCF"/>
    <w:rsid w:val="00A745BB"/>
    <w:rsid w:val="00A75474"/>
    <w:rsid w:val="00A77679"/>
    <w:rsid w:val="00A80C13"/>
    <w:rsid w:val="00A825F4"/>
    <w:rsid w:val="00A82777"/>
    <w:rsid w:val="00A84CC4"/>
    <w:rsid w:val="00A8553F"/>
    <w:rsid w:val="00A8638E"/>
    <w:rsid w:val="00A865AE"/>
    <w:rsid w:val="00A91A3D"/>
    <w:rsid w:val="00A95B0A"/>
    <w:rsid w:val="00AA2DC3"/>
    <w:rsid w:val="00AA3A6C"/>
    <w:rsid w:val="00AA477F"/>
    <w:rsid w:val="00AA59D0"/>
    <w:rsid w:val="00AB13EB"/>
    <w:rsid w:val="00AC001C"/>
    <w:rsid w:val="00AC16D8"/>
    <w:rsid w:val="00AD0046"/>
    <w:rsid w:val="00AD0F69"/>
    <w:rsid w:val="00AD57E1"/>
    <w:rsid w:val="00AE2347"/>
    <w:rsid w:val="00AE41FB"/>
    <w:rsid w:val="00B05372"/>
    <w:rsid w:val="00B13227"/>
    <w:rsid w:val="00B17033"/>
    <w:rsid w:val="00B17ECE"/>
    <w:rsid w:val="00B215EB"/>
    <w:rsid w:val="00B24A7C"/>
    <w:rsid w:val="00B26404"/>
    <w:rsid w:val="00B26E4D"/>
    <w:rsid w:val="00B328DE"/>
    <w:rsid w:val="00B33747"/>
    <w:rsid w:val="00B376BF"/>
    <w:rsid w:val="00B376FA"/>
    <w:rsid w:val="00B42A3C"/>
    <w:rsid w:val="00B42DC4"/>
    <w:rsid w:val="00B450B0"/>
    <w:rsid w:val="00B546EC"/>
    <w:rsid w:val="00B6535F"/>
    <w:rsid w:val="00B737E8"/>
    <w:rsid w:val="00B83537"/>
    <w:rsid w:val="00B85DAF"/>
    <w:rsid w:val="00B9072E"/>
    <w:rsid w:val="00B96AD2"/>
    <w:rsid w:val="00B97CAF"/>
    <w:rsid w:val="00BA641E"/>
    <w:rsid w:val="00BC6FE9"/>
    <w:rsid w:val="00BD192E"/>
    <w:rsid w:val="00BD53AF"/>
    <w:rsid w:val="00BD6549"/>
    <w:rsid w:val="00BE36D6"/>
    <w:rsid w:val="00BE6130"/>
    <w:rsid w:val="00BF0E6D"/>
    <w:rsid w:val="00C05DBF"/>
    <w:rsid w:val="00C23B19"/>
    <w:rsid w:val="00C2502E"/>
    <w:rsid w:val="00C27767"/>
    <w:rsid w:val="00C4227D"/>
    <w:rsid w:val="00C423BB"/>
    <w:rsid w:val="00C435B4"/>
    <w:rsid w:val="00C479E4"/>
    <w:rsid w:val="00C5090F"/>
    <w:rsid w:val="00C524A8"/>
    <w:rsid w:val="00C5265C"/>
    <w:rsid w:val="00C60116"/>
    <w:rsid w:val="00C6111D"/>
    <w:rsid w:val="00C6112A"/>
    <w:rsid w:val="00C624F1"/>
    <w:rsid w:val="00C752F1"/>
    <w:rsid w:val="00C8384C"/>
    <w:rsid w:val="00C84E23"/>
    <w:rsid w:val="00C86403"/>
    <w:rsid w:val="00C90631"/>
    <w:rsid w:val="00C91041"/>
    <w:rsid w:val="00CA3464"/>
    <w:rsid w:val="00CB03FD"/>
    <w:rsid w:val="00CB1634"/>
    <w:rsid w:val="00CB6927"/>
    <w:rsid w:val="00CD3097"/>
    <w:rsid w:val="00CE4524"/>
    <w:rsid w:val="00CE611B"/>
    <w:rsid w:val="00D042A6"/>
    <w:rsid w:val="00D12DC4"/>
    <w:rsid w:val="00D14A0E"/>
    <w:rsid w:val="00D166FB"/>
    <w:rsid w:val="00D26BD9"/>
    <w:rsid w:val="00D270AF"/>
    <w:rsid w:val="00D32A23"/>
    <w:rsid w:val="00D336D5"/>
    <w:rsid w:val="00D44A06"/>
    <w:rsid w:val="00D511F9"/>
    <w:rsid w:val="00D52022"/>
    <w:rsid w:val="00D53880"/>
    <w:rsid w:val="00D60E72"/>
    <w:rsid w:val="00D6308C"/>
    <w:rsid w:val="00D70C97"/>
    <w:rsid w:val="00D7440A"/>
    <w:rsid w:val="00D7712F"/>
    <w:rsid w:val="00D84212"/>
    <w:rsid w:val="00DB192C"/>
    <w:rsid w:val="00DB25AF"/>
    <w:rsid w:val="00DB4550"/>
    <w:rsid w:val="00DB54F0"/>
    <w:rsid w:val="00DB5E86"/>
    <w:rsid w:val="00DC6D1C"/>
    <w:rsid w:val="00DD6DC2"/>
    <w:rsid w:val="00DE424F"/>
    <w:rsid w:val="00DF6B34"/>
    <w:rsid w:val="00E1022D"/>
    <w:rsid w:val="00E11227"/>
    <w:rsid w:val="00E22E39"/>
    <w:rsid w:val="00E26E85"/>
    <w:rsid w:val="00E43775"/>
    <w:rsid w:val="00E56F3E"/>
    <w:rsid w:val="00E64826"/>
    <w:rsid w:val="00E70C2B"/>
    <w:rsid w:val="00E80012"/>
    <w:rsid w:val="00E81AB1"/>
    <w:rsid w:val="00E82257"/>
    <w:rsid w:val="00EA58DD"/>
    <w:rsid w:val="00EA781C"/>
    <w:rsid w:val="00EB09B8"/>
    <w:rsid w:val="00EB1C5A"/>
    <w:rsid w:val="00EB5FCD"/>
    <w:rsid w:val="00EC1576"/>
    <w:rsid w:val="00EC4480"/>
    <w:rsid w:val="00ED68F4"/>
    <w:rsid w:val="00EE01F6"/>
    <w:rsid w:val="00EF3A17"/>
    <w:rsid w:val="00EF6C5C"/>
    <w:rsid w:val="00F00E74"/>
    <w:rsid w:val="00F10BBC"/>
    <w:rsid w:val="00F221AA"/>
    <w:rsid w:val="00F2331D"/>
    <w:rsid w:val="00F33764"/>
    <w:rsid w:val="00F4342C"/>
    <w:rsid w:val="00F60037"/>
    <w:rsid w:val="00F65065"/>
    <w:rsid w:val="00F7677D"/>
    <w:rsid w:val="00F77A61"/>
    <w:rsid w:val="00F92CC9"/>
    <w:rsid w:val="00F933F7"/>
    <w:rsid w:val="00FB277D"/>
    <w:rsid w:val="00FC3230"/>
    <w:rsid w:val="00FC3FF2"/>
    <w:rsid w:val="00FC4EE5"/>
    <w:rsid w:val="00FC6254"/>
    <w:rsid w:val="00FD05BA"/>
    <w:rsid w:val="00FE43DA"/>
    <w:rsid w:val="00FF3D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E3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val="en-GB" w:eastAsia="zh-CN"/>
    </w:rPr>
  </w:style>
  <w:style w:type="paragraph" w:styleId="TOC1">
    <w:name w:val="toc 1"/>
    <w:aliases w:val="Observation TOC2"/>
    <w:uiPriority w:val="39"/>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semiHidden/>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semiHidden/>
    <w:rsid w:val="00E22E39"/>
    <w:rPr>
      <w:rFonts w:ascii="Arial" w:eastAsia="Times New Roman" w:hAnsi="Arial" w:cs="Arial"/>
      <w:b/>
      <w:bCs/>
      <w:i/>
      <w:iCs/>
      <w:noProof/>
      <w:sz w:val="18"/>
      <w:szCs w:val="18"/>
      <w:lang w:eastAsia="zh-CN"/>
    </w:rPr>
  </w:style>
  <w:style w:type="character" w:styleId="PageNumber">
    <w:name w:val="page number"/>
    <w:basedOn w:val="DefaultParagraphFont"/>
    <w:semiHidden/>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uiPriority w:val="99"/>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ind w:left="1701" w:hanging="170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semiHidden/>
    <w:unhideWhenUsed/>
    <w:rsid w:val="00B737E8"/>
    <w:rPr>
      <w:sz w:val="16"/>
      <w:szCs w:val="16"/>
    </w:rPr>
  </w:style>
  <w:style w:type="paragraph" w:styleId="CommentText">
    <w:name w:val="annotation text"/>
    <w:basedOn w:val="Normal"/>
    <w:link w:val="CommentTextChar"/>
    <w:uiPriority w:val="99"/>
    <w:semiHidden/>
    <w:unhideWhenUsed/>
    <w:rsid w:val="00B737E8"/>
  </w:style>
  <w:style w:type="character" w:customStyle="1" w:styleId="CommentTextChar">
    <w:name w:val="Comment Text Char"/>
    <w:basedOn w:val="DefaultParagraphFont"/>
    <w:link w:val="CommentText"/>
    <w:uiPriority w:val="99"/>
    <w:semiHidden/>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B737E8"/>
    <w:rPr>
      <w:b/>
      <w:bCs/>
    </w:rPr>
  </w:style>
  <w:style w:type="character" w:customStyle="1" w:styleId="CommentSubjectChar">
    <w:name w:val="Comment Subject Char"/>
    <w:basedOn w:val="CommentTextChar"/>
    <w:link w:val="CommentSubject"/>
    <w:uiPriority w:val="99"/>
    <w:semiHidden/>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18"/>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3373">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42409168">
      <w:bodyDiv w:val="1"/>
      <w:marLeft w:val="0"/>
      <w:marRight w:val="0"/>
      <w:marTop w:val="0"/>
      <w:marBottom w:val="0"/>
      <w:divBdr>
        <w:top w:val="none" w:sz="0" w:space="0" w:color="auto"/>
        <w:left w:val="none" w:sz="0" w:space="0" w:color="auto"/>
        <w:bottom w:val="none" w:sz="0" w:space="0" w:color="auto"/>
        <w:right w:val="none" w:sz="0" w:space="0" w:color="auto"/>
      </w:divBdr>
    </w:div>
    <w:div w:id="104038346">
      <w:bodyDiv w:val="1"/>
      <w:marLeft w:val="0"/>
      <w:marRight w:val="0"/>
      <w:marTop w:val="0"/>
      <w:marBottom w:val="0"/>
      <w:divBdr>
        <w:top w:val="none" w:sz="0" w:space="0" w:color="auto"/>
        <w:left w:val="none" w:sz="0" w:space="0" w:color="auto"/>
        <w:bottom w:val="none" w:sz="0" w:space="0" w:color="auto"/>
        <w:right w:val="none" w:sz="0" w:space="0" w:color="auto"/>
      </w:divBdr>
    </w:div>
    <w:div w:id="167908816">
      <w:bodyDiv w:val="1"/>
      <w:marLeft w:val="0"/>
      <w:marRight w:val="0"/>
      <w:marTop w:val="0"/>
      <w:marBottom w:val="0"/>
      <w:divBdr>
        <w:top w:val="none" w:sz="0" w:space="0" w:color="auto"/>
        <w:left w:val="none" w:sz="0" w:space="0" w:color="auto"/>
        <w:bottom w:val="none" w:sz="0" w:space="0" w:color="auto"/>
        <w:right w:val="none" w:sz="0" w:space="0" w:color="auto"/>
      </w:divBdr>
    </w:div>
    <w:div w:id="242229707">
      <w:bodyDiv w:val="1"/>
      <w:marLeft w:val="0"/>
      <w:marRight w:val="0"/>
      <w:marTop w:val="0"/>
      <w:marBottom w:val="0"/>
      <w:divBdr>
        <w:top w:val="none" w:sz="0" w:space="0" w:color="auto"/>
        <w:left w:val="none" w:sz="0" w:space="0" w:color="auto"/>
        <w:bottom w:val="none" w:sz="0" w:space="0" w:color="auto"/>
        <w:right w:val="none" w:sz="0" w:space="0" w:color="auto"/>
      </w:divBdr>
    </w:div>
    <w:div w:id="242566765">
      <w:bodyDiv w:val="1"/>
      <w:marLeft w:val="0"/>
      <w:marRight w:val="0"/>
      <w:marTop w:val="0"/>
      <w:marBottom w:val="0"/>
      <w:divBdr>
        <w:top w:val="none" w:sz="0" w:space="0" w:color="auto"/>
        <w:left w:val="none" w:sz="0" w:space="0" w:color="auto"/>
        <w:bottom w:val="none" w:sz="0" w:space="0" w:color="auto"/>
        <w:right w:val="none" w:sz="0" w:space="0" w:color="auto"/>
      </w:divBdr>
    </w:div>
    <w:div w:id="254485129">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98875627">
      <w:bodyDiv w:val="1"/>
      <w:marLeft w:val="0"/>
      <w:marRight w:val="0"/>
      <w:marTop w:val="0"/>
      <w:marBottom w:val="0"/>
      <w:divBdr>
        <w:top w:val="none" w:sz="0" w:space="0" w:color="auto"/>
        <w:left w:val="none" w:sz="0" w:space="0" w:color="auto"/>
        <w:bottom w:val="none" w:sz="0" w:space="0" w:color="auto"/>
        <w:right w:val="none" w:sz="0" w:space="0" w:color="auto"/>
      </w:divBdr>
    </w:div>
    <w:div w:id="299503439">
      <w:bodyDiv w:val="1"/>
      <w:marLeft w:val="0"/>
      <w:marRight w:val="0"/>
      <w:marTop w:val="0"/>
      <w:marBottom w:val="0"/>
      <w:divBdr>
        <w:top w:val="none" w:sz="0" w:space="0" w:color="auto"/>
        <w:left w:val="none" w:sz="0" w:space="0" w:color="auto"/>
        <w:bottom w:val="none" w:sz="0" w:space="0" w:color="auto"/>
        <w:right w:val="none" w:sz="0" w:space="0" w:color="auto"/>
      </w:divBdr>
    </w:div>
    <w:div w:id="30069337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31953944">
      <w:bodyDiv w:val="1"/>
      <w:marLeft w:val="0"/>
      <w:marRight w:val="0"/>
      <w:marTop w:val="0"/>
      <w:marBottom w:val="0"/>
      <w:divBdr>
        <w:top w:val="none" w:sz="0" w:space="0" w:color="auto"/>
        <w:left w:val="none" w:sz="0" w:space="0" w:color="auto"/>
        <w:bottom w:val="none" w:sz="0" w:space="0" w:color="auto"/>
        <w:right w:val="none" w:sz="0" w:space="0" w:color="auto"/>
      </w:divBdr>
    </w:div>
    <w:div w:id="339704005">
      <w:bodyDiv w:val="1"/>
      <w:marLeft w:val="0"/>
      <w:marRight w:val="0"/>
      <w:marTop w:val="0"/>
      <w:marBottom w:val="0"/>
      <w:divBdr>
        <w:top w:val="none" w:sz="0" w:space="0" w:color="auto"/>
        <w:left w:val="none" w:sz="0" w:space="0" w:color="auto"/>
        <w:bottom w:val="none" w:sz="0" w:space="0" w:color="auto"/>
        <w:right w:val="none" w:sz="0" w:space="0" w:color="auto"/>
      </w:divBdr>
    </w:div>
    <w:div w:id="345594397">
      <w:bodyDiv w:val="1"/>
      <w:marLeft w:val="0"/>
      <w:marRight w:val="0"/>
      <w:marTop w:val="0"/>
      <w:marBottom w:val="0"/>
      <w:divBdr>
        <w:top w:val="none" w:sz="0" w:space="0" w:color="auto"/>
        <w:left w:val="none" w:sz="0" w:space="0" w:color="auto"/>
        <w:bottom w:val="none" w:sz="0" w:space="0" w:color="auto"/>
        <w:right w:val="none" w:sz="0" w:space="0" w:color="auto"/>
      </w:divBdr>
    </w:div>
    <w:div w:id="364647510">
      <w:bodyDiv w:val="1"/>
      <w:marLeft w:val="0"/>
      <w:marRight w:val="0"/>
      <w:marTop w:val="0"/>
      <w:marBottom w:val="0"/>
      <w:divBdr>
        <w:top w:val="none" w:sz="0" w:space="0" w:color="auto"/>
        <w:left w:val="none" w:sz="0" w:space="0" w:color="auto"/>
        <w:bottom w:val="none" w:sz="0" w:space="0" w:color="auto"/>
        <w:right w:val="none" w:sz="0" w:space="0" w:color="auto"/>
      </w:divBdr>
    </w:div>
    <w:div w:id="37489378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420369687">
      <w:bodyDiv w:val="1"/>
      <w:marLeft w:val="0"/>
      <w:marRight w:val="0"/>
      <w:marTop w:val="0"/>
      <w:marBottom w:val="0"/>
      <w:divBdr>
        <w:top w:val="none" w:sz="0" w:space="0" w:color="auto"/>
        <w:left w:val="none" w:sz="0" w:space="0" w:color="auto"/>
        <w:bottom w:val="none" w:sz="0" w:space="0" w:color="auto"/>
        <w:right w:val="none" w:sz="0" w:space="0" w:color="auto"/>
      </w:divBdr>
    </w:div>
    <w:div w:id="453907439">
      <w:bodyDiv w:val="1"/>
      <w:marLeft w:val="0"/>
      <w:marRight w:val="0"/>
      <w:marTop w:val="0"/>
      <w:marBottom w:val="0"/>
      <w:divBdr>
        <w:top w:val="none" w:sz="0" w:space="0" w:color="auto"/>
        <w:left w:val="none" w:sz="0" w:space="0" w:color="auto"/>
        <w:bottom w:val="none" w:sz="0" w:space="0" w:color="auto"/>
        <w:right w:val="none" w:sz="0" w:space="0" w:color="auto"/>
      </w:divBdr>
    </w:div>
    <w:div w:id="479620707">
      <w:bodyDiv w:val="1"/>
      <w:marLeft w:val="0"/>
      <w:marRight w:val="0"/>
      <w:marTop w:val="0"/>
      <w:marBottom w:val="0"/>
      <w:divBdr>
        <w:top w:val="none" w:sz="0" w:space="0" w:color="auto"/>
        <w:left w:val="none" w:sz="0" w:space="0" w:color="auto"/>
        <w:bottom w:val="none" w:sz="0" w:space="0" w:color="auto"/>
        <w:right w:val="none" w:sz="0" w:space="0" w:color="auto"/>
      </w:divBdr>
    </w:div>
    <w:div w:id="484708835">
      <w:bodyDiv w:val="1"/>
      <w:marLeft w:val="0"/>
      <w:marRight w:val="0"/>
      <w:marTop w:val="0"/>
      <w:marBottom w:val="0"/>
      <w:divBdr>
        <w:top w:val="none" w:sz="0" w:space="0" w:color="auto"/>
        <w:left w:val="none" w:sz="0" w:space="0" w:color="auto"/>
        <w:bottom w:val="none" w:sz="0" w:space="0" w:color="auto"/>
        <w:right w:val="none" w:sz="0" w:space="0" w:color="auto"/>
      </w:divBdr>
    </w:div>
    <w:div w:id="494076251">
      <w:bodyDiv w:val="1"/>
      <w:marLeft w:val="0"/>
      <w:marRight w:val="0"/>
      <w:marTop w:val="0"/>
      <w:marBottom w:val="0"/>
      <w:divBdr>
        <w:top w:val="none" w:sz="0" w:space="0" w:color="auto"/>
        <w:left w:val="none" w:sz="0" w:space="0" w:color="auto"/>
        <w:bottom w:val="none" w:sz="0" w:space="0" w:color="auto"/>
        <w:right w:val="none" w:sz="0" w:space="0" w:color="auto"/>
      </w:divBdr>
    </w:div>
    <w:div w:id="49410588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45532302">
      <w:bodyDiv w:val="1"/>
      <w:marLeft w:val="0"/>
      <w:marRight w:val="0"/>
      <w:marTop w:val="0"/>
      <w:marBottom w:val="0"/>
      <w:divBdr>
        <w:top w:val="none" w:sz="0" w:space="0" w:color="auto"/>
        <w:left w:val="none" w:sz="0" w:space="0" w:color="auto"/>
        <w:bottom w:val="none" w:sz="0" w:space="0" w:color="auto"/>
        <w:right w:val="none" w:sz="0" w:space="0" w:color="auto"/>
      </w:divBdr>
    </w:div>
    <w:div w:id="555312241">
      <w:bodyDiv w:val="1"/>
      <w:marLeft w:val="0"/>
      <w:marRight w:val="0"/>
      <w:marTop w:val="0"/>
      <w:marBottom w:val="0"/>
      <w:divBdr>
        <w:top w:val="none" w:sz="0" w:space="0" w:color="auto"/>
        <w:left w:val="none" w:sz="0" w:space="0" w:color="auto"/>
        <w:bottom w:val="none" w:sz="0" w:space="0" w:color="auto"/>
        <w:right w:val="none" w:sz="0" w:space="0" w:color="auto"/>
      </w:divBdr>
    </w:div>
    <w:div w:id="569967084">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6596646">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667828023">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6441727">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5637817">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828251421">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48905988">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7573129">
      <w:bodyDiv w:val="1"/>
      <w:marLeft w:val="0"/>
      <w:marRight w:val="0"/>
      <w:marTop w:val="0"/>
      <w:marBottom w:val="0"/>
      <w:divBdr>
        <w:top w:val="none" w:sz="0" w:space="0" w:color="auto"/>
        <w:left w:val="none" w:sz="0" w:space="0" w:color="auto"/>
        <w:bottom w:val="none" w:sz="0" w:space="0" w:color="auto"/>
        <w:right w:val="none" w:sz="0" w:space="0" w:color="auto"/>
      </w:divBdr>
    </w:div>
    <w:div w:id="913859075">
      <w:bodyDiv w:val="1"/>
      <w:marLeft w:val="0"/>
      <w:marRight w:val="0"/>
      <w:marTop w:val="0"/>
      <w:marBottom w:val="0"/>
      <w:divBdr>
        <w:top w:val="none" w:sz="0" w:space="0" w:color="auto"/>
        <w:left w:val="none" w:sz="0" w:space="0" w:color="auto"/>
        <w:bottom w:val="none" w:sz="0" w:space="0" w:color="auto"/>
        <w:right w:val="none" w:sz="0" w:space="0" w:color="auto"/>
      </w:divBdr>
    </w:div>
    <w:div w:id="923994871">
      <w:bodyDiv w:val="1"/>
      <w:marLeft w:val="0"/>
      <w:marRight w:val="0"/>
      <w:marTop w:val="0"/>
      <w:marBottom w:val="0"/>
      <w:divBdr>
        <w:top w:val="none" w:sz="0" w:space="0" w:color="auto"/>
        <w:left w:val="none" w:sz="0" w:space="0" w:color="auto"/>
        <w:bottom w:val="none" w:sz="0" w:space="0" w:color="auto"/>
        <w:right w:val="none" w:sz="0" w:space="0" w:color="auto"/>
      </w:divBdr>
    </w:div>
    <w:div w:id="945767703">
      <w:bodyDiv w:val="1"/>
      <w:marLeft w:val="0"/>
      <w:marRight w:val="0"/>
      <w:marTop w:val="0"/>
      <w:marBottom w:val="0"/>
      <w:divBdr>
        <w:top w:val="none" w:sz="0" w:space="0" w:color="auto"/>
        <w:left w:val="none" w:sz="0" w:space="0" w:color="auto"/>
        <w:bottom w:val="none" w:sz="0" w:space="0" w:color="auto"/>
        <w:right w:val="none" w:sz="0" w:space="0" w:color="auto"/>
      </w:divBdr>
    </w:div>
    <w:div w:id="952639200">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83243907">
      <w:bodyDiv w:val="1"/>
      <w:marLeft w:val="0"/>
      <w:marRight w:val="0"/>
      <w:marTop w:val="0"/>
      <w:marBottom w:val="0"/>
      <w:divBdr>
        <w:top w:val="none" w:sz="0" w:space="0" w:color="auto"/>
        <w:left w:val="none" w:sz="0" w:space="0" w:color="auto"/>
        <w:bottom w:val="none" w:sz="0" w:space="0" w:color="auto"/>
        <w:right w:val="none" w:sz="0" w:space="0" w:color="auto"/>
      </w:divBdr>
    </w:div>
    <w:div w:id="989869688">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104473">
      <w:bodyDiv w:val="1"/>
      <w:marLeft w:val="0"/>
      <w:marRight w:val="0"/>
      <w:marTop w:val="0"/>
      <w:marBottom w:val="0"/>
      <w:divBdr>
        <w:top w:val="none" w:sz="0" w:space="0" w:color="auto"/>
        <w:left w:val="none" w:sz="0" w:space="0" w:color="auto"/>
        <w:bottom w:val="none" w:sz="0" w:space="0" w:color="auto"/>
        <w:right w:val="none" w:sz="0" w:space="0" w:color="auto"/>
      </w:divBdr>
    </w:div>
    <w:div w:id="1052077334">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81364894">
      <w:bodyDiv w:val="1"/>
      <w:marLeft w:val="0"/>
      <w:marRight w:val="0"/>
      <w:marTop w:val="0"/>
      <w:marBottom w:val="0"/>
      <w:divBdr>
        <w:top w:val="none" w:sz="0" w:space="0" w:color="auto"/>
        <w:left w:val="none" w:sz="0" w:space="0" w:color="auto"/>
        <w:bottom w:val="none" w:sz="0" w:space="0" w:color="auto"/>
        <w:right w:val="none" w:sz="0" w:space="0" w:color="auto"/>
      </w:divBdr>
    </w:div>
    <w:div w:id="1088305085">
      <w:bodyDiv w:val="1"/>
      <w:marLeft w:val="0"/>
      <w:marRight w:val="0"/>
      <w:marTop w:val="0"/>
      <w:marBottom w:val="0"/>
      <w:divBdr>
        <w:top w:val="none" w:sz="0" w:space="0" w:color="auto"/>
        <w:left w:val="none" w:sz="0" w:space="0" w:color="auto"/>
        <w:bottom w:val="none" w:sz="0" w:space="0" w:color="auto"/>
        <w:right w:val="none" w:sz="0" w:space="0" w:color="auto"/>
      </w:divBdr>
    </w:div>
    <w:div w:id="1159035184">
      <w:bodyDiv w:val="1"/>
      <w:marLeft w:val="0"/>
      <w:marRight w:val="0"/>
      <w:marTop w:val="0"/>
      <w:marBottom w:val="0"/>
      <w:divBdr>
        <w:top w:val="none" w:sz="0" w:space="0" w:color="auto"/>
        <w:left w:val="none" w:sz="0" w:space="0" w:color="auto"/>
        <w:bottom w:val="none" w:sz="0" w:space="0" w:color="auto"/>
        <w:right w:val="none" w:sz="0" w:space="0" w:color="auto"/>
      </w:divBdr>
    </w:div>
    <w:div w:id="1169950242">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72469717">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0842915">
      <w:bodyDiv w:val="1"/>
      <w:marLeft w:val="0"/>
      <w:marRight w:val="0"/>
      <w:marTop w:val="0"/>
      <w:marBottom w:val="0"/>
      <w:divBdr>
        <w:top w:val="none" w:sz="0" w:space="0" w:color="auto"/>
        <w:left w:val="none" w:sz="0" w:space="0" w:color="auto"/>
        <w:bottom w:val="none" w:sz="0" w:space="0" w:color="auto"/>
        <w:right w:val="none" w:sz="0" w:space="0" w:color="auto"/>
      </w:divBdr>
    </w:div>
    <w:div w:id="1318191682">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43506341">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19780856">
      <w:bodyDiv w:val="1"/>
      <w:marLeft w:val="0"/>
      <w:marRight w:val="0"/>
      <w:marTop w:val="0"/>
      <w:marBottom w:val="0"/>
      <w:divBdr>
        <w:top w:val="none" w:sz="0" w:space="0" w:color="auto"/>
        <w:left w:val="none" w:sz="0" w:space="0" w:color="auto"/>
        <w:bottom w:val="none" w:sz="0" w:space="0" w:color="auto"/>
        <w:right w:val="none" w:sz="0" w:space="0" w:color="auto"/>
      </w:divBdr>
    </w:div>
    <w:div w:id="1526400712">
      <w:bodyDiv w:val="1"/>
      <w:marLeft w:val="0"/>
      <w:marRight w:val="0"/>
      <w:marTop w:val="0"/>
      <w:marBottom w:val="0"/>
      <w:divBdr>
        <w:top w:val="none" w:sz="0" w:space="0" w:color="auto"/>
        <w:left w:val="none" w:sz="0" w:space="0" w:color="auto"/>
        <w:bottom w:val="none" w:sz="0" w:space="0" w:color="auto"/>
        <w:right w:val="none" w:sz="0" w:space="0" w:color="auto"/>
      </w:divBdr>
    </w:div>
    <w:div w:id="1535003903">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18829430">
      <w:bodyDiv w:val="1"/>
      <w:marLeft w:val="0"/>
      <w:marRight w:val="0"/>
      <w:marTop w:val="0"/>
      <w:marBottom w:val="0"/>
      <w:divBdr>
        <w:top w:val="none" w:sz="0" w:space="0" w:color="auto"/>
        <w:left w:val="none" w:sz="0" w:space="0" w:color="auto"/>
        <w:bottom w:val="none" w:sz="0" w:space="0" w:color="auto"/>
        <w:right w:val="none" w:sz="0" w:space="0" w:color="auto"/>
      </w:divBdr>
    </w:div>
    <w:div w:id="1619096284">
      <w:bodyDiv w:val="1"/>
      <w:marLeft w:val="0"/>
      <w:marRight w:val="0"/>
      <w:marTop w:val="0"/>
      <w:marBottom w:val="0"/>
      <w:divBdr>
        <w:top w:val="none" w:sz="0" w:space="0" w:color="auto"/>
        <w:left w:val="none" w:sz="0" w:space="0" w:color="auto"/>
        <w:bottom w:val="none" w:sz="0" w:space="0" w:color="auto"/>
        <w:right w:val="none" w:sz="0" w:space="0" w:color="auto"/>
      </w:divBdr>
    </w:div>
    <w:div w:id="1640071018">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5965512">
      <w:bodyDiv w:val="1"/>
      <w:marLeft w:val="0"/>
      <w:marRight w:val="0"/>
      <w:marTop w:val="0"/>
      <w:marBottom w:val="0"/>
      <w:divBdr>
        <w:top w:val="none" w:sz="0" w:space="0" w:color="auto"/>
        <w:left w:val="none" w:sz="0" w:space="0" w:color="auto"/>
        <w:bottom w:val="none" w:sz="0" w:space="0" w:color="auto"/>
        <w:right w:val="none" w:sz="0" w:space="0" w:color="auto"/>
      </w:divBdr>
    </w:div>
    <w:div w:id="1697728470">
      <w:bodyDiv w:val="1"/>
      <w:marLeft w:val="0"/>
      <w:marRight w:val="0"/>
      <w:marTop w:val="0"/>
      <w:marBottom w:val="0"/>
      <w:divBdr>
        <w:top w:val="none" w:sz="0" w:space="0" w:color="auto"/>
        <w:left w:val="none" w:sz="0" w:space="0" w:color="auto"/>
        <w:bottom w:val="none" w:sz="0" w:space="0" w:color="auto"/>
        <w:right w:val="none" w:sz="0" w:space="0" w:color="auto"/>
      </w:divBdr>
    </w:div>
    <w:div w:id="1718243252">
      <w:bodyDiv w:val="1"/>
      <w:marLeft w:val="0"/>
      <w:marRight w:val="0"/>
      <w:marTop w:val="0"/>
      <w:marBottom w:val="0"/>
      <w:divBdr>
        <w:top w:val="none" w:sz="0" w:space="0" w:color="auto"/>
        <w:left w:val="none" w:sz="0" w:space="0" w:color="auto"/>
        <w:bottom w:val="none" w:sz="0" w:space="0" w:color="auto"/>
        <w:right w:val="none" w:sz="0" w:space="0" w:color="auto"/>
      </w:divBdr>
    </w:div>
    <w:div w:id="1725761665">
      <w:bodyDiv w:val="1"/>
      <w:marLeft w:val="0"/>
      <w:marRight w:val="0"/>
      <w:marTop w:val="0"/>
      <w:marBottom w:val="0"/>
      <w:divBdr>
        <w:top w:val="none" w:sz="0" w:space="0" w:color="auto"/>
        <w:left w:val="none" w:sz="0" w:space="0" w:color="auto"/>
        <w:bottom w:val="none" w:sz="0" w:space="0" w:color="auto"/>
        <w:right w:val="none" w:sz="0" w:space="0" w:color="auto"/>
      </w:divBdr>
    </w:div>
    <w:div w:id="1743209663">
      <w:bodyDiv w:val="1"/>
      <w:marLeft w:val="0"/>
      <w:marRight w:val="0"/>
      <w:marTop w:val="0"/>
      <w:marBottom w:val="0"/>
      <w:divBdr>
        <w:top w:val="none" w:sz="0" w:space="0" w:color="auto"/>
        <w:left w:val="none" w:sz="0" w:space="0" w:color="auto"/>
        <w:bottom w:val="none" w:sz="0" w:space="0" w:color="auto"/>
        <w:right w:val="none" w:sz="0" w:space="0" w:color="auto"/>
      </w:divBdr>
    </w:div>
    <w:div w:id="1745685046">
      <w:bodyDiv w:val="1"/>
      <w:marLeft w:val="0"/>
      <w:marRight w:val="0"/>
      <w:marTop w:val="0"/>
      <w:marBottom w:val="0"/>
      <w:divBdr>
        <w:top w:val="none" w:sz="0" w:space="0" w:color="auto"/>
        <w:left w:val="none" w:sz="0" w:space="0" w:color="auto"/>
        <w:bottom w:val="none" w:sz="0" w:space="0" w:color="auto"/>
        <w:right w:val="none" w:sz="0" w:space="0" w:color="auto"/>
      </w:divBdr>
    </w:div>
    <w:div w:id="176070925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6992046">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6803280">
      <w:bodyDiv w:val="1"/>
      <w:marLeft w:val="0"/>
      <w:marRight w:val="0"/>
      <w:marTop w:val="0"/>
      <w:marBottom w:val="0"/>
      <w:divBdr>
        <w:top w:val="none" w:sz="0" w:space="0" w:color="auto"/>
        <w:left w:val="none" w:sz="0" w:space="0" w:color="auto"/>
        <w:bottom w:val="none" w:sz="0" w:space="0" w:color="auto"/>
        <w:right w:val="none" w:sz="0" w:space="0" w:color="auto"/>
      </w:divBdr>
    </w:div>
    <w:div w:id="1849252503">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195952">
      <w:bodyDiv w:val="1"/>
      <w:marLeft w:val="0"/>
      <w:marRight w:val="0"/>
      <w:marTop w:val="0"/>
      <w:marBottom w:val="0"/>
      <w:divBdr>
        <w:top w:val="none" w:sz="0" w:space="0" w:color="auto"/>
        <w:left w:val="none" w:sz="0" w:space="0" w:color="auto"/>
        <w:bottom w:val="none" w:sz="0" w:space="0" w:color="auto"/>
        <w:right w:val="none" w:sz="0" w:space="0" w:color="auto"/>
      </w:divBdr>
    </w:div>
    <w:div w:id="1940330554">
      <w:bodyDiv w:val="1"/>
      <w:marLeft w:val="0"/>
      <w:marRight w:val="0"/>
      <w:marTop w:val="0"/>
      <w:marBottom w:val="0"/>
      <w:divBdr>
        <w:top w:val="none" w:sz="0" w:space="0" w:color="auto"/>
        <w:left w:val="none" w:sz="0" w:space="0" w:color="auto"/>
        <w:bottom w:val="none" w:sz="0" w:space="0" w:color="auto"/>
        <w:right w:val="none" w:sz="0" w:space="0" w:color="auto"/>
      </w:divBdr>
    </w:div>
    <w:div w:id="1941838001">
      <w:bodyDiv w:val="1"/>
      <w:marLeft w:val="0"/>
      <w:marRight w:val="0"/>
      <w:marTop w:val="0"/>
      <w:marBottom w:val="0"/>
      <w:divBdr>
        <w:top w:val="none" w:sz="0" w:space="0" w:color="auto"/>
        <w:left w:val="none" w:sz="0" w:space="0" w:color="auto"/>
        <w:bottom w:val="none" w:sz="0" w:space="0" w:color="auto"/>
        <w:right w:val="none" w:sz="0" w:space="0" w:color="auto"/>
      </w:divBdr>
    </w:div>
    <w:div w:id="194453293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4062623">
      <w:bodyDiv w:val="1"/>
      <w:marLeft w:val="0"/>
      <w:marRight w:val="0"/>
      <w:marTop w:val="0"/>
      <w:marBottom w:val="0"/>
      <w:divBdr>
        <w:top w:val="none" w:sz="0" w:space="0" w:color="auto"/>
        <w:left w:val="none" w:sz="0" w:space="0" w:color="auto"/>
        <w:bottom w:val="none" w:sz="0" w:space="0" w:color="auto"/>
        <w:right w:val="none" w:sz="0" w:space="0" w:color="auto"/>
      </w:divBdr>
    </w:div>
    <w:div w:id="2099865637">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41068744">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RAN1_98b</b:Tag>
    <b:SourceType>Report</b:SourceType>
    <b:Guid>{195BA786-850D-4EAF-917D-411304BB6EA2}</b:Guid>
    <b:Title>RAN1#98bis Chairman's Notes</b:Title>
    <b:Year>Oct. 14-20, 2019</b:Year>
    <b:City>Chongqing, CN</b:City>
    <b:RefOrder>1</b:RefOrder>
  </b:Source>
</b:Sources>
</file>

<file path=customXml/itemProps1.xml><?xml version="1.0" encoding="utf-8"?>
<ds:datastoreItem xmlns:ds="http://schemas.openxmlformats.org/officeDocument/2006/customXml" ds:itemID="{F14D8FCD-DED7-4941-AF50-82E48D84E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2019-11-08T22:30:00Z</dcterms:created>
  <dcterms:modified xsi:type="dcterms:W3CDTF">2019-11-08T23:16:00Z</dcterms:modified>
</cp:coreProperties>
</file>